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DEC5D" w14:textId="2E775413" w:rsidR="009A5CC8" w:rsidRPr="005672E3" w:rsidRDefault="00C04B36" w:rsidP="00CF7B56">
      <w:pPr>
        <w:jc w:val="center"/>
        <w:outlineLvl w:val="1"/>
        <w:rPr>
          <w:rFonts w:asciiTheme="majorHAnsi" w:hAnsiTheme="majorHAnsi"/>
          <w:b/>
          <w:color w:val="ED7D31" w:themeColor="accent2"/>
          <w:sz w:val="32"/>
          <w:szCs w:val="32"/>
        </w:rPr>
      </w:pPr>
      <w:bookmarkStart w:id="0" w:name="_Hlk5288314"/>
      <w:r w:rsidRPr="005672E3">
        <w:rPr>
          <w:rFonts w:asciiTheme="majorHAnsi" w:hAnsiTheme="majorHAnsi"/>
          <w:b/>
          <w:color w:val="ED7D31" w:themeColor="accent2"/>
          <w:sz w:val="32"/>
          <w:szCs w:val="32"/>
        </w:rPr>
        <w:t>Fertilizer Logistics</w:t>
      </w:r>
      <w:r w:rsidR="00D96825" w:rsidRPr="005672E3">
        <w:rPr>
          <w:rFonts w:asciiTheme="majorHAnsi" w:hAnsiTheme="majorHAnsi"/>
          <w:b/>
          <w:color w:val="ED7D31" w:themeColor="accent2"/>
          <w:sz w:val="32"/>
          <w:szCs w:val="32"/>
        </w:rPr>
        <w:t xml:space="preserve"> and Transportation</w:t>
      </w:r>
    </w:p>
    <w:p w14:paraId="12A3252F" w14:textId="77777777" w:rsidR="0034609C" w:rsidRPr="00D25CC0" w:rsidRDefault="0034609C" w:rsidP="006A0BD4">
      <w:pPr>
        <w:pBdr>
          <w:bottom w:val="single" w:sz="6" w:space="1" w:color="auto"/>
        </w:pBdr>
        <w:outlineLvl w:val="1"/>
        <w:rPr>
          <w:rFonts w:asciiTheme="majorHAnsi" w:hAnsiTheme="majorHAnsi"/>
          <w:color w:val="ED7D31" w:themeColor="accent2"/>
          <w:sz w:val="22"/>
          <w:szCs w:val="22"/>
        </w:rPr>
      </w:pPr>
    </w:p>
    <w:p w14:paraId="17D62AE8" w14:textId="77777777" w:rsidR="0034609C" w:rsidRPr="00D25CC0" w:rsidRDefault="0034609C" w:rsidP="00CF7B56">
      <w:pPr>
        <w:outlineLvl w:val="1"/>
        <w:rPr>
          <w:rFonts w:asciiTheme="majorHAnsi" w:hAnsiTheme="majorHAnsi"/>
          <w:sz w:val="22"/>
          <w:szCs w:val="22"/>
        </w:rPr>
      </w:pPr>
    </w:p>
    <w:p w14:paraId="32C7B02D" w14:textId="149B2BF1" w:rsidR="00D66967" w:rsidRPr="00D25CC0" w:rsidRDefault="0034609C" w:rsidP="00CF7B56">
      <w:pPr>
        <w:outlineLvl w:val="1"/>
        <w:rPr>
          <w:rFonts w:asciiTheme="majorHAnsi" w:hAnsiTheme="majorHAnsi"/>
          <w:sz w:val="22"/>
          <w:szCs w:val="22"/>
        </w:rPr>
      </w:pPr>
      <w:r w:rsidRPr="00D25CC0">
        <w:rPr>
          <w:rFonts w:asciiTheme="majorHAnsi" w:hAnsiTheme="majorHAnsi"/>
          <w:b/>
          <w:color w:val="ED7D31" w:themeColor="accent2"/>
          <w:sz w:val="22"/>
          <w:szCs w:val="22"/>
        </w:rPr>
        <w:t>Issue Summary:</w:t>
      </w:r>
      <w:r w:rsidRPr="00D25CC0">
        <w:rPr>
          <w:rFonts w:asciiTheme="majorHAnsi" w:hAnsiTheme="majorHAnsi"/>
          <w:sz w:val="22"/>
          <w:szCs w:val="22"/>
        </w:rPr>
        <w:t xml:space="preserve">  </w:t>
      </w:r>
      <w:r w:rsidR="008A258A" w:rsidRPr="00D25CC0">
        <w:rPr>
          <w:rFonts w:asciiTheme="majorHAnsi" w:hAnsiTheme="majorHAnsi"/>
          <w:sz w:val="22"/>
          <w:szCs w:val="22"/>
        </w:rPr>
        <w:t xml:space="preserve">Fertilizer is a global commodity. </w:t>
      </w:r>
      <w:r w:rsidR="00383D74" w:rsidRPr="00D25CC0">
        <w:rPr>
          <w:rFonts w:asciiTheme="majorHAnsi" w:hAnsiTheme="majorHAnsi"/>
          <w:sz w:val="22"/>
          <w:szCs w:val="22"/>
        </w:rPr>
        <w:t xml:space="preserve">In addition to </w:t>
      </w:r>
      <w:r w:rsidR="008A258A" w:rsidRPr="00D25CC0">
        <w:rPr>
          <w:rFonts w:asciiTheme="majorHAnsi" w:hAnsiTheme="majorHAnsi"/>
          <w:sz w:val="22"/>
          <w:szCs w:val="22"/>
        </w:rPr>
        <w:t>ports, fertilizer moves by rail, truck, barge, and pipeline. America’s farmers and their suppliers rely on a safe and efficient transportation network for their success.</w:t>
      </w:r>
      <w:r w:rsidR="00D25CC0" w:rsidRPr="00D25CC0">
        <w:rPr>
          <w:rFonts w:asciiTheme="majorHAnsi" w:hAnsiTheme="majorHAnsi"/>
          <w:sz w:val="22"/>
          <w:szCs w:val="22"/>
        </w:rPr>
        <w:t xml:space="preserve"> </w:t>
      </w:r>
      <w:r w:rsidR="00D25CC0" w:rsidRPr="00D25CC0">
        <w:rPr>
          <w:rFonts w:asciiTheme="majorHAnsi" w:hAnsiTheme="majorHAnsi"/>
          <w:iCs/>
          <w:sz w:val="22"/>
          <w:szCs w:val="22"/>
        </w:rPr>
        <w:t>In 2017, 88.9 million tons of fertilizer was transported in the United States from supply sources to end users.</w:t>
      </w:r>
    </w:p>
    <w:p w14:paraId="7B03593B" w14:textId="03E43560" w:rsidR="00734444" w:rsidRPr="00D25CC0" w:rsidRDefault="00734444" w:rsidP="00CF7B56">
      <w:pPr>
        <w:outlineLvl w:val="1"/>
        <w:rPr>
          <w:rFonts w:asciiTheme="majorHAnsi" w:hAnsiTheme="majorHAnsi"/>
          <w:sz w:val="22"/>
          <w:szCs w:val="22"/>
        </w:rPr>
      </w:pPr>
    </w:p>
    <w:p w14:paraId="18970878" w14:textId="73618FFA" w:rsidR="00A9786F" w:rsidRPr="00D25CC0" w:rsidRDefault="009E1419" w:rsidP="00CF7B56">
      <w:pPr>
        <w:outlineLvl w:val="1"/>
        <w:rPr>
          <w:rFonts w:asciiTheme="majorHAnsi" w:hAnsiTheme="majorHAnsi" w:cstheme="majorHAnsi"/>
          <w:sz w:val="22"/>
          <w:szCs w:val="22"/>
        </w:rPr>
      </w:pPr>
      <w:r w:rsidRPr="00D25CC0">
        <w:rPr>
          <w:rFonts w:asciiTheme="majorHAnsi" w:hAnsiTheme="majorHAnsi"/>
          <w:b/>
          <w:color w:val="ED7D31" w:themeColor="accent2"/>
          <w:sz w:val="22"/>
          <w:szCs w:val="22"/>
        </w:rPr>
        <w:t>Fertilizer Logistics</w:t>
      </w:r>
      <w:r w:rsidR="00734444" w:rsidRPr="00D25CC0">
        <w:rPr>
          <w:rFonts w:asciiTheme="majorHAnsi" w:hAnsiTheme="majorHAnsi"/>
          <w:b/>
          <w:color w:val="ED7D31" w:themeColor="accent2"/>
          <w:sz w:val="22"/>
          <w:szCs w:val="22"/>
        </w:rPr>
        <w:t xml:space="preserve">:  </w:t>
      </w:r>
      <w:bookmarkEnd w:id="0"/>
      <w:r w:rsidR="008A258A" w:rsidRPr="00D25CC0">
        <w:rPr>
          <w:rFonts w:asciiTheme="majorHAnsi" w:hAnsiTheme="majorHAnsi" w:cstheme="majorHAnsi"/>
          <w:sz w:val="22"/>
          <w:szCs w:val="22"/>
        </w:rPr>
        <w:t xml:space="preserve">Fertilizer moves </w:t>
      </w:r>
      <w:r w:rsidR="008A258A" w:rsidRPr="00D25CC0">
        <w:rPr>
          <w:rFonts w:asciiTheme="majorHAnsi" w:hAnsiTheme="majorHAnsi" w:cstheme="majorHAnsi"/>
          <w:sz w:val="22"/>
          <w:szCs w:val="22"/>
          <w:u w:val="single"/>
        </w:rPr>
        <w:t>year-round</w:t>
      </w:r>
      <w:r w:rsidR="008A258A" w:rsidRPr="00D25CC0">
        <w:rPr>
          <w:rFonts w:asciiTheme="majorHAnsi" w:hAnsiTheme="majorHAnsi" w:cstheme="majorHAnsi"/>
          <w:sz w:val="22"/>
          <w:szCs w:val="22"/>
        </w:rPr>
        <w:t xml:space="preserve">. Although there is a two- to three-week window when most crops are planted and fertilized, continuous production and transportation to storage locations throughout the year is necessary to ensure sufficient supplies </w:t>
      </w:r>
      <w:r w:rsidR="00040137">
        <w:rPr>
          <w:rFonts w:asciiTheme="majorHAnsi" w:hAnsiTheme="majorHAnsi" w:cstheme="majorHAnsi"/>
          <w:sz w:val="22"/>
          <w:szCs w:val="22"/>
        </w:rPr>
        <w:t>during a</w:t>
      </w:r>
      <w:r w:rsidR="004E4D15">
        <w:rPr>
          <w:rFonts w:asciiTheme="majorHAnsi" w:hAnsiTheme="majorHAnsi" w:cstheme="majorHAnsi"/>
          <w:sz w:val="22"/>
          <w:szCs w:val="22"/>
        </w:rPr>
        <w:t>pplication periods</w:t>
      </w:r>
      <w:r w:rsidR="008A258A" w:rsidRPr="00D25CC0">
        <w:rPr>
          <w:rFonts w:asciiTheme="majorHAnsi" w:hAnsiTheme="majorHAnsi" w:cstheme="majorHAnsi"/>
          <w:sz w:val="22"/>
          <w:szCs w:val="22"/>
        </w:rPr>
        <w:t xml:space="preserve">. While the timeliness of shipments is more sensitive in the Spring planting season, the volume of shipments is virtually the same each quarter of the year. The transportation of fertilizer from producer to storage to farmer can involve truck, barge, pipeline, </w:t>
      </w:r>
      <w:proofErr w:type="gramStart"/>
      <w:r w:rsidR="008A258A" w:rsidRPr="00D25CC0">
        <w:rPr>
          <w:rFonts w:asciiTheme="majorHAnsi" w:hAnsiTheme="majorHAnsi" w:cstheme="majorHAnsi"/>
          <w:sz w:val="22"/>
          <w:szCs w:val="22"/>
        </w:rPr>
        <w:t>rail</w:t>
      </w:r>
      <w:proofErr w:type="gramEnd"/>
      <w:r w:rsidR="008A258A" w:rsidRPr="00D25CC0">
        <w:rPr>
          <w:rFonts w:asciiTheme="majorHAnsi" w:hAnsiTheme="majorHAnsi" w:cstheme="majorHAnsi"/>
          <w:sz w:val="22"/>
          <w:szCs w:val="22"/>
        </w:rPr>
        <w:t xml:space="preserve"> or some combination of two or more modes.</w:t>
      </w:r>
    </w:p>
    <w:p w14:paraId="4B29DBBC" w14:textId="77777777" w:rsidR="00734444" w:rsidRPr="00D25CC0" w:rsidRDefault="00734444" w:rsidP="00CF7B56">
      <w:pPr>
        <w:outlineLvl w:val="1"/>
        <w:rPr>
          <w:rFonts w:asciiTheme="majorHAnsi" w:hAnsiTheme="majorHAnsi"/>
          <w:iCs/>
          <w:sz w:val="22"/>
          <w:szCs w:val="22"/>
        </w:rPr>
      </w:pPr>
    </w:p>
    <w:p w14:paraId="04F0A914" w14:textId="6294226C" w:rsidR="00076674" w:rsidRDefault="00076674" w:rsidP="00CF7B56">
      <w:pPr>
        <w:pStyle w:val="ListParagraph"/>
        <w:numPr>
          <w:ilvl w:val="0"/>
          <w:numId w:val="2"/>
        </w:numPr>
        <w:outlineLvl w:val="1"/>
        <w:rPr>
          <w:rFonts w:asciiTheme="majorHAnsi" w:hAnsiTheme="majorHAnsi"/>
          <w:iCs/>
        </w:rPr>
      </w:pPr>
      <w:r w:rsidRPr="00D25CC0">
        <w:rPr>
          <w:rFonts w:asciiTheme="majorHAnsi" w:hAnsiTheme="majorHAnsi"/>
          <w:iCs/>
        </w:rPr>
        <w:t>In terms of ton-miles:</w:t>
      </w:r>
    </w:p>
    <w:p w14:paraId="355D82EE" w14:textId="77777777" w:rsidR="0028620A" w:rsidRPr="00D25CC0" w:rsidRDefault="0028620A" w:rsidP="0028620A">
      <w:pPr>
        <w:pStyle w:val="ListParagraph"/>
        <w:outlineLvl w:val="1"/>
        <w:rPr>
          <w:rFonts w:asciiTheme="majorHAnsi" w:hAnsiTheme="majorHAnsi"/>
          <w:iCs/>
        </w:rPr>
      </w:pPr>
    </w:p>
    <w:p w14:paraId="01D81A6F" w14:textId="2B200778" w:rsidR="008A258A" w:rsidRPr="00D25CC0" w:rsidRDefault="002F2F67" w:rsidP="00CF7B56">
      <w:pPr>
        <w:pStyle w:val="ListParagraph"/>
        <w:numPr>
          <w:ilvl w:val="1"/>
          <w:numId w:val="2"/>
        </w:numPr>
        <w:outlineLvl w:val="1"/>
        <w:rPr>
          <w:rFonts w:asciiTheme="majorHAnsi" w:hAnsiTheme="majorHAnsi"/>
          <w:iCs/>
        </w:rPr>
      </w:pPr>
      <w:r w:rsidRPr="00D25CC0">
        <w:rPr>
          <w:rFonts w:asciiTheme="majorHAnsi" w:hAnsiTheme="majorHAnsi"/>
          <w:iCs/>
        </w:rPr>
        <w:t>63</w:t>
      </w:r>
      <w:r w:rsidR="000909C6" w:rsidRPr="00D25CC0">
        <w:rPr>
          <w:rFonts w:asciiTheme="majorHAnsi" w:hAnsiTheme="majorHAnsi"/>
          <w:iCs/>
        </w:rPr>
        <w:t>% move</w:t>
      </w:r>
      <w:r w:rsidR="00C51661" w:rsidRPr="00D25CC0">
        <w:rPr>
          <w:rFonts w:asciiTheme="majorHAnsi" w:hAnsiTheme="majorHAnsi"/>
          <w:iCs/>
        </w:rPr>
        <w:t>s</w:t>
      </w:r>
      <w:r w:rsidR="000909C6" w:rsidRPr="00D25CC0">
        <w:rPr>
          <w:rFonts w:asciiTheme="majorHAnsi" w:hAnsiTheme="majorHAnsi"/>
          <w:iCs/>
        </w:rPr>
        <w:t xml:space="preserve"> by rail</w:t>
      </w:r>
    </w:p>
    <w:p w14:paraId="31A6684A" w14:textId="641CDEA4" w:rsidR="008A258A" w:rsidRPr="00D25CC0" w:rsidRDefault="002F2F67" w:rsidP="00CF7B56">
      <w:pPr>
        <w:pStyle w:val="ListParagraph"/>
        <w:numPr>
          <w:ilvl w:val="1"/>
          <w:numId w:val="2"/>
        </w:numPr>
        <w:outlineLvl w:val="1"/>
        <w:rPr>
          <w:rFonts w:asciiTheme="majorHAnsi" w:hAnsiTheme="majorHAnsi"/>
          <w:iCs/>
        </w:rPr>
      </w:pPr>
      <w:r w:rsidRPr="00D25CC0">
        <w:rPr>
          <w:rFonts w:asciiTheme="majorHAnsi" w:hAnsiTheme="majorHAnsi"/>
          <w:iCs/>
        </w:rPr>
        <w:t>15</w:t>
      </w:r>
      <w:r w:rsidR="00C51661" w:rsidRPr="00D25CC0">
        <w:rPr>
          <w:rFonts w:asciiTheme="majorHAnsi" w:hAnsiTheme="majorHAnsi"/>
          <w:iCs/>
        </w:rPr>
        <w:t>% moves</w:t>
      </w:r>
      <w:r w:rsidR="000909C6" w:rsidRPr="00D25CC0">
        <w:rPr>
          <w:rFonts w:asciiTheme="majorHAnsi" w:hAnsiTheme="majorHAnsi"/>
          <w:iCs/>
        </w:rPr>
        <w:t xml:space="preserve"> by truck</w:t>
      </w:r>
      <w:r w:rsidR="00F5595F" w:rsidRPr="00D25CC0">
        <w:rPr>
          <w:rFonts w:asciiTheme="majorHAnsi" w:hAnsiTheme="majorHAnsi"/>
          <w:iCs/>
        </w:rPr>
        <w:t xml:space="preserve"> </w:t>
      </w:r>
    </w:p>
    <w:p w14:paraId="6BF664E4" w14:textId="483281B9" w:rsidR="008A258A" w:rsidRPr="00D25CC0" w:rsidRDefault="002F2F67" w:rsidP="00CF7B56">
      <w:pPr>
        <w:pStyle w:val="ListParagraph"/>
        <w:numPr>
          <w:ilvl w:val="1"/>
          <w:numId w:val="2"/>
        </w:numPr>
        <w:outlineLvl w:val="1"/>
        <w:rPr>
          <w:rFonts w:asciiTheme="majorHAnsi" w:hAnsiTheme="majorHAnsi"/>
          <w:iCs/>
        </w:rPr>
      </w:pPr>
      <w:r w:rsidRPr="00D25CC0">
        <w:rPr>
          <w:rFonts w:asciiTheme="majorHAnsi" w:hAnsiTheme="majorHAnsi"/>
          <w:iCs/>
        </w:rPr>
        <w:t>17</w:t>
      </w:r>
      <w:r w:rsidR="000909C6" w:rsidRPr="00D25CC0">
        <w:rPr>
          <w:rFonts w:asciiTheme="majorHAnsi" w:hAnsiTheme="majorHAnsi"/>
          <w:iCs/>
        </w:rPr>
        <w:t>% move</w:t>
      </w:r>
      <w:r w:rsidR="00C51661" w:rsidRPr="00D25CC0">
        <w:rPr>
          <w:rFonts w:asciiTheme="majorHAnsi" w:hAnsiTheme="majorHAnsi"/>
          <w:iCs/>
        </w:rPr>
        <w:t>s</w:t>
      </w:r>
      <w:r w:rsidR="000909C6" w:rsidRPr="00D25CC0">
        <w:rPr>
          <w:rFonts w:asciiTheme="majorHAnsi" w:hAnsiTheme="majorHAnsi"/>
          <w:iCs/>
        </w:rPr>
        <w:t xml:space="preserve"> by barge</w:t>
      </w:r>
    </w:p>
    <w:p w14:paraId="79C134FD" w14:textId="36852DE7" w:rsidR="005E70DC" w:rsidRPr="00D25CC0" w:rsidRDefault="002F2F67" w:rsidP="0028620A">
      <w:pPr>
        <w:pStyle w:val="ListParagraph"/>
        <w:numPr>
          <w:ilvl w:val="1"/>
          <w:numId w:val="2"/>
        </w:numPr>
        <w:spacing w:after="120"/>
        <w:outlineLvl w:val="1"/>
        <w:rPr>
          <w:rFonts w:asciiTheme="majorHAnsi" w:hAnsiTheme="majorHAnsi"/>
          <w:iCs/>
        </w:rPr>
      </w:pPr>
      <w:r w:rsidRPr="00D25CC0">
        <w:rPr>
          <w:rFonts w:asciiTheme="majorHAnsi" w:hAnsiTheme="majorHAnsi"/>
          <w:iCs/>
        </w:rPr>
        <w:t>5</w:t>
      </w:r>
      <w:r w:rsidR="00C51661" w:rsidRPr="00D25CC0">
        <w:rPr>
          <w:rFonts w:asciiTheme="majorHAnsi" w:hAnsiTheme="majorHAnsi"/>
          <w:iCs/>
        </w:rPr>
        <w:t>% moves</w:t>
      </w:r>
      <w:r w:rsidR="000909C6" w:rsidRPr="00D25CC0">
        <w:rPr>
          <w:rFonts w:asciiTheme="majorHAnsi" w:hAnsiTheme="majorHAnsi"/>
          <w:iCs/>
        </w:rPr>
        <w:t xml:space="preserve"> by pipeli</w:t>
      </w:r>
      <w:r w:rsidR="007F774B" w:rsidRPr="00D25CC0">
        <w:rPr>
          <w:rFonts w:asciiTheme="majorHAnsi" w:hAnsiTheme="majorHAnsi"/>
          <w:iCs/>
        </w:rPr>
        <w:t>ne</w:t>
      </w:r>
    </w:p>
    <w:p w14:paraId="379CDCBF" w14:textId="2F35C306" w:rsidR="005E70DC" w:rsidRPr="00D25CC0" w:rsidRDefault="00076674" w:rsidP="00CF7B56">
      <w:pPr>
        <w:pStyle w:val="ListParagraph"/>
        <w:numPr>
          <w:ilvl w:val="2"/>
          <w:numId w:val="2"/>
        </w:numPr>
        <w:outlineLvl w:val="1"/>
        <w:rPr>
          <w:rFonts w:asciiTheme="majorHAnsi" w:hAnsiTheme="majorHAnsi"/>
          <w:iCs/>
        </w:rPr>
      </w:pPr>
      <w:r w:rsidRPr="00D25CC0">
        <w:rPr>
          <w:rFonts w:asciiTheme="majorHAnsi" w:hAnsiTheme="majorHAnsi"/>
          <w:iCs/>
        </w:rPr>
        <w:t>Over half of all fertilizer moves by rail (</w:t>
      </w:r>
      <w:r w:rsidR="002F2F67" w:rsidRPr="00D25CC0">
        <w:rPr>
          <w:rFonts w:asciiTheme="majorHAnsi" w:hAnsiTheme="majorHAnsi"/>
          <w:iCs/>
        </w:rPr>
        <w:t>63</w:t>
      </w:r>
      <w:r w:rsidRPr="00D25CC0">
        <w:rPr>
          <w:rFonts w:asciiTheme="majorHAnsi" w:hAnsiTheme="majorHAnsi"/>
          <w:iCs/>
        </w:rPr>
        <w:t>%)</w:t>
      </w:r>
    </w:p>
    <w:p w14:paraId="724DDAB6" w14:textId="703414F4" w:rsidR="005E70DC" w:rsidRPr="00D25CC0" w:rsidRDefault="00A16F62" w:rsidP="00CF7B56">
      <w:pPr>
        <w:pStyle w:val="ListParagraph"/>
        <w:numPr>
          <w:ilvl w:val="2"/>
          <w:numId w:val="2"/>
        </w:numPr>
        <w:outlineLvl w:val="1"/>
        <w:rPr>
          <w:rFonts w:asciiTheme="majorHAnsi" w:hAnsiTheme="majorHAnsi"/>
          <w:iCs/>
        </w:rPr>
      </w:pPr>
      <w:r w:rsidRPr="00D25CC0">
        <w:rPr>
          <w:rFonts w:asciiTheme="majorHAnsi" w:hAnsiTheme="majorHAnsi"/>
          <w:iCs/>
        </w:rPr>
        <w:t>Almost o</w:t>
      </w:r>
      <w:r w:rsidR="00076674" w:rsidRPr="00D25CC0">
        <w:rPr>
          <w:rFonts w:asciiTheme="majorHAnsi" w:hAnsiTheme="majorHAnsi"/>
          <w:iCs/>
        </w:rPr>
        <w:t>ne-</w:t>
      </w:r>
      <w:r w:rsidRPr="00D25CC0">
        <w:rPr>
          <w:rFonts w:asciiTheme="majorHAnsi" w:hAnsiTheme="majorHAnsi"/>
          <w:iCs/>
        </w:rPr>
        <w:t>fifth</w:t>
      </w:r>
      <w:r w:rsidR="00076674" w:rsidRPr="00D25CC0">
        <w:rPr>
          <w:rFonts w:asciiTheme="majorHAnsi" w:hAnsiTheme="majorHAnsi"/>
          <w:iCs/>
        </w:rPr>
        <w:t xml:space="preserve"> of all fertilizer moves by barge (</w:t>
      </w:r>
      <w:r w:rsidR="006539EF" w:rsidRPr="00D25CC0">
        <w:rPr>
          <w:rFonts w:asciiTheme="majorHAnsi" w:hAnsiTheme="majorHAnsi"/>
          <w:iCs/>
        </w:rPr>
        <w:t>17</w:t>
      </w:r>
      <w:r w:rsidR="00076674" w:rsidRPr="00D25CC0">
        <w:rPr>
          <w:rFonts w:asciiTheme="majorHAnsi" w:hAnsiTheme="majorHAnsi"/>
          <w:iCs/>
        </w:rPr>
        <w:t>%)</w:t>
      </w:r>
    </w:p>
    <w:p w14:paraId="635956DB" w14:textId="54D4825D" w:rsidR="00076674" w:rsidRPr="00D25CC0" w:rsidRDefault="00EB0940" w:rsidP="00CF7B56">
      <w:pPr>
        <w:pStyle w:val="ListParagraph"/>
        <w:numPr>
          <w:ilvl w:val="2"/>
          <w:numId w:val="2"/>
        </w:numPr>
        <w:outlineLvl w:val="1"/>
        <w:rPr>
          <w:rFonts w:asciiTheme="majorHAnsi" w:hAnsiTheme="majorHAnsi"/>
          <w:iCs/>
        </w:rPr>
      </w:pPr>
      <w:r w:rsidRPr="00D25CC0">
        <w:rPr>
          <w:rFonts w:asciiTheme="majorHAnsi" w:hAnsiTheme="majorHAnsi"/>
          <w:iCs/>
        </w:rPr>
        <w:t>About</w:t>
      </w:r>
      <w:r w:rsidR="00A0013F" w:rsidRPr="00D25CC0">
        <w:rPr>
          <w:rFonts w:asciiTheme="majorHAnsi" w:hAnsiTheme="majorHAnsi"/>
          <w:iCs/>
        </w:rPr>
        <w:t xml:space="preserve"> t</w:t>
      </w:r>
      <w:r w:rsidR="00076674" w:rsidRPr="00D25CC0">
        <w:rPr>
          <w:rFonts w:asciiTheme="majorHAnsi" w:hAnsiTheme="majorHAnsi"/>
          <w:iCs/>
        </w:rPr>
        <w:t xml:space="preserve">wo-thirds of </w:t>
      </w:r>
      <w:r w:rsidR="00AF72E8">
        <w:rPr>
          <w:rFonts w:asciiTheme="majorHAnsi" w:hAnsiTheme="majorHAnsi"/>
          <w:iCs/>
        </w:rPr>
        <w:t xml:space="preserve">all </w:t>
      </w:r>
      <w:r w:rsidR="00076674" w:rsidRPr="00D25CC0">
        <w:rPr>
          <w:rFonts w:asciiTheme="majorHAnsi" w:hAnsiTheme="majorHAnsi"/>
          <w:iCs/>
        </w:rPr>
        <w:t xml:space="preserve">ammonia </w:t>
      </w:r>
      <w:r w:rsidR="00AF72E8">
        <w:rPr>
          <w:rFonts w:asciiTheme="majorHAnsi" w:hAnsiTheme="majorHAnsi"/>
          <w:iCs/>
        </w:rPr>
        <w:t xml:space="preserve">shipments </w:t>
      </w:r>
      <w:r w:rsidR="00076674" w:rsidRPr="00D25CC0">
        <w:rPr>
          <w:rFonts w:asciiTheme="majorHAnsi" w:hAnsiTheme="majorHAnsi"/>
          <w:iCs/>
        </w:rPr>
        <w:t>move by pipeline (6</w:t>
      </w:r>
      <w:r w:rsidR="00256518" w:rsidRPr="00D25CC0">
        <w:rPr>
          <w:rFonts w:asciiTheme="majorHAnsi" w:hAnsiTheme="majorHAnsi"/>
          <w:iCs/>
        </w:rPr>
        <w:t>0</w:t>
      </w:r>
      <w:r w:rsidR="00076674" w:rsidRPr="00D25CC0">
        <w:rPr>
          <w:rFonts w:asciiTheme="majorHAnsi" w:hAnsiTheme="majorHAnsi"/>
          <w:iCs/>
        </w:rPr>
        <w:t>%)</w:t>
      </w:r>
      <w:r w:rsidR="00076674" w:rsidRPr="00D25CC0">
        <w:rPr>
          <w:rStyle w:val="FootnoteReference"/>
          <w:rFonts w:asciiTheme="majorHAnsi" w:hAnsiTheme="majorHAnsi"/>
          <w:iCs/>
        </w:rPr>
        <w:footnoteReference w:id="1"/>
      </w:r>
    </w:p>
    <w:p w14:paraId="61662424" w14:textId="77777777" w:rsidR="000909C6" w:rsidRPr="00D25CC0" w:rsidRDefault="000909C6" w:rsidP="00CF7B56">
      <w:pPr>
        <w:pStyle w:val="ListParagraph"/>
        <w:ind w:left="1440"/>
        <w:outlineLvl w:val="1"/>
        <w:rPr>
          <w:rFonts w:asciiTheme="majorHAnsi" w:hAnsiTheme="majorHAnsi"/>
          <w:iCs/>
        </w:rPr>
      </w:pPr>
    </w:p>
    <w:p w14:paraId="1CEC0FFE" w14:textId="692355FD" w:rsidR="00076674" w:rsidRPr="00D25CC0" w:rsidRDefault="00076674" w:rsidP="00CF7B56">
      <w:pPr>
        <w:pStyle w:val="ListParagraph"/>
        <w:numPr>
          <w:ilvl w:val="0"/>
          <w:numId w:val="2"/>
        </w:numPr>
        <w:outlineLvl w:val="1"/>
        <w:rPr>
          <w:rFonts w:asciiTheme="majorHAnsi" w:hAnsiTheme="majorHAnsi"/>
          <w:iCs/>
        </w:rPr>
      </w:pPr>
      <w:r w:rsidRPr="00D25CC0">
        <w:rPr>
          <w:rFonts w:asciiTheme="majorHAnsi" w:hAnsiTheme="majorHAnsi"/>
          <w:iCs/>
        </w:rPr>
        <w:t>In terms of total tonnage:</w:t>
      </w:r>
    </w:p>
    <w:p w14:paraId="0BA6C2F3" w14:textId="77777777" w:rsidR="00F61B27" w:rsidRPr="00D25CC0" w:rsidRDefault="00F61B27" w:rsidP="00CF7B56">
      <w:pPr>
        <w:pStyle w:val="ListParagraph"/>
        <w:outlineLvl w:val="1"/>
        <w:rPr>
          <w:rFonts w:asciiTheme="majorHAnsi" w:hAnsiTheme="majorHAnsi"/>
          <w:iCs/>
        </w:rPr>
      </w:pPr>
    </w:p>
    <w:p w14:paraId="3F7CFA09" w14:textId="7AAE8DB7" w:rsidR="008A258A" w:rsidRPr="00D25CC0" w:rsidRDefault="00C51661" w:rsidP="00CF7B56">
      <w:pPr>
        <w:pStyle w:val="ListParagraph"/>
        <w:numPr>
          <w:ilvl w:val="1"/>
          <w:numId w:val="2"/>
        </w:numPr>
        <w:outlineLvl w:val="1"/>
        <w:rPr>
          <w:rFonts w:asciiTheme="majorHAnsi" w:hAnsiTheme="majorHAnsi"/>
          <w:iCs/>
        </w:rPr>
      </w:pPr>
      <w:r w:rsidRPr="00D25CC0">
        <w:rPr>
          <w:rFonts w:asciiTheme="majorHAnsi" w:hAnsiTheme="majorHAnsi"/>
          <w:iCs/>
        </w:rPr>
        <w:t>3</w:t>
      </w:r>
      <w:r w:rsidR="00B21F66">
        <w:rPr>
          <w:rFonts w:asciiTheme="majorHAnsi" w:hAnsiTheme="majorHAnsi"/>
          <w:iCs/>
        </w:rPr>
        <w:t>7</w:t>
      </w:r>
      <w:r w:rsidRPr="00D25CC0">
        <w:rPr>
          <w:rFonts w:asciiTheme="majorHAnsi" w:hAnsiTheme="majorHAnsi"/>
          <w:iCs/>
        </w:rPr>
        <w:t>% moves</w:t>
      </w:r>
      <w:r w:rsidR="000909C6" w:rsidRPr="00D25CC0">
        <w:rPr>
          <w:rFonts w:asciiTheme="majorHAnsi" w:hAnsiTheme="majorHAnsi"/>
          <w:iCs/>
        </w:rPr>
        <w:t xml:space="preserve"> by rail</w:t>
      </w:r>
    </w:p>
    <w:p w14:paraId="2F49EBAA" w14:textId="69671594" w:rsidR="008A258A" w:rsidRPr="00D25CC0" w:rsidRDefault="00C51661" w:rsidP="00CF7B56">
      <w:pPr>
        <w:pStyle w:val="ListParagraph"/>
        <w:numPr>
          <w:ilvl w:val="1"/>
          <w:numId w:val="2"/>
        </w:numPr>
        <w:outlineLvl w:val="1"/>
        <w:rPr>
          <w:rFonts w:asciiTheme="majorHAnsi" w:hAnsiTheme="majorHAnsi"/>
          <w:iCs/>
        </w:rPr>
      </w:pPr>
      <w:r w:rsidRPr="00D25CC0">
        <w:rPr>
          <w:rFonts w:asciiTheme="majorHAnsi" w:hAnsiTheme="majorHAnsi"/>
          <w:iCs/>
        </w:rPr>
        <w:t>51% moves</w:t>
      </w:r>
      <w:r w:rsidR="000909C6" w:rsidRPr="00D25CC0">
        <w:rPr>
          <w:rFonts w:asciiTheme="majorHAnsi" w:hAnsiTheme="majorHAnsi"/>
          <w:iCs/>
        </w:rPr>
        <w:t xml:space="preserve"> by truck</w:t>
      </w:r>
    </w:p>
    <w:p w14:paraId="2D3E738B" w14:textId="29BD4DEE" w:rsidR="008A258A" w:rsidRPr="00D25CC0" w:rsidRDefault="007D7D86" w:rsidP="00CF7B56">
      <w:pPr>
        <w:pStyle w:val="ListParagraph"/>
        <w:numPr>
          <w:ilvl w:val="1"/>
          <w:numId w:val="2"/>
        </w:numPr>
        <w:outlineLvl w:val="1"/>
        <w:rPr>
          <w:rFonts w:asciiTheme="majorHAnsi" w:hAnsiTheme="majorHAnsi"/>
          <w:iCs/>
        </w:rPr>
      </w:pPr>
      <w:r w:rsidRPr="00D25CC0">
        <w:rPr>
          <w:rFonts w:asciiTheme="majorHAnsi" w:hAnsiTheme="majorHAnsi"/>
          <w:iCs/>
        </w:rPr>
        <w:t>9</w:t>
      </w:r>
      <w:r w:rsidR="00C51661" w:rsidRPr="00D25CC0">
        <w:rPr>
          <w:rFonts w:asciiTheme="majorHAnsi" w:hAnsiTheme="majorHAnsi"/>
          <w:iCs/>
        </w:rPr>
        <w:t>% moves</w:t>
      </w:r>
      <w:r w:rsidR="000909C6" w:rsidRPr="00D25CC0">
        <w:rPr>
          <w:rFonts w:asciiTheme="majorHAnsi" w:hAnsiTheme="majorHAnsi"/>
          <w:iCs/>
        </w:rPr>
        <w:t xml:space="preserve"> by barge</w:t>
      </w:r>
    </w:p>
    <w:p w14:paraId="49879C9B" w14:textId="41E29A18" w:rsidR="00A9786F" w:rsidRPr="00D25CC0" w:rsidRDefault="000909C6" w:rsidP="0028620A">
      <w:pPr>
        <w:pStyle w:val="ListParagraph"/>
        <w:numPr>
          <w:ilvl w:val="1"/>
          <w:numId w:val="2"/>
        </w:numPr>
        <w:spacing w:after="120"/>
        <w:outlineLvl w:val="1"/>
        <w:rPr>
          <w:rFonts w:asciiTheme="majorHAnsi" w:hAnsiTheme="majorHAnsi"/>
          <w:iCs/>
        </w:rPr>
      </w:pPr>
      <w:r w:rsidRPr="00D25CC0">
        <w:rPr>
          <w:rFonts w:asciiTheme="majorHAnsi" w:hAnsiTheme="majorHAnsi"/>
          <w:iCs/>
        </w:rPr>
        <w:t>3% move</w:t>
      </w:r>
      <w:r w:rsidR="00C51661" w:rsidRPr="00D25CC0">
        <w:rPr>
          <w:rFonts w:asciiTheme="majorHAnsi" w:hAnsiTheme="majorHAnsi"/>
          <w:iCs/>
        </w:rPr>
        <w:t>s</w:t>
      </w:r>
      <w:r w:rsidRPr="00D25CC0">
        <w:rPr>
          <w:rFonts w:asciiTheme="majorHAnsi" w:hAnsiTheme="majorHAnsi"/>
          <w:iCs/>
        </w:rPr>
        <w:t xml:space="preserve"> by pipeline</w:t>
      </w:r>
    </w:p>
    <w:p w14:paraId="4D370079" w14:textId="0864EBAC" w:rsidR="00A9786F" w:rsidRPr="00D25CC0" w:rsidRDefault="007B26FB" w:rsidP="00CF7B56">
      <w:pPr>
        <w:pStyle w:val="ListParagraph"/>
        <w:numPr>
          <w:ilvl w:val="2"/>
          <w:numId w:val="2"/>
        </w:numPr>
        <w:outlineLvl w:val="1"/>
        <w:rPr>
          <w:rFonts w:asciiTheme="majorHAnsi" w:hAnsiTheme="majorHAnsi"/>
          <w:iCs/>
        </w:rPr>
      </w:pPr>
      <w:r w:rsidRPr="00D25CC0">
        <w:rPr>
          <w:rFonts w:asciiTheme="majorHAnsi" w:hAnsiTheme="majorHAnsi"/>
          <w:iCs/>
        </w:rPr>
        <w:t>All</w:t>
      </w:r>
      <w:r w:rsidR="00076674" w:rsidRPr="00D25CC0">
        <w:rPr>
          <w:rFonts w:asciiTheme="majorHAnsi" w:hAnsiTheme="majorHAnsi"/>
          <w:iCs/>
        </w:rPr>
        <w:t xml:space="preserve"> fertilizer </w:t>
      </w:r>
      <w:r w:rsidRPr="00D25CC0">
        <w:rPr>
          <w:rFonts w:asciiTheme="majorHAnsi" w:hAnsiTheme="majorHAnsi"/>
          <w:iCs/>
        </w:rPr>
        <w:t>utilized by farmer</w:t>
      </w:r>
      <w:r w:rsidR="00D34F94" w:rsidRPr="00D25CC0">
        <w:rPr>
          <w:rFonts w:asciiTheme="majorHAnsi" w:hAnsiTheme="majorHAnsi"/>
          <w:iCs/>
        </w:rPr>
        <w:t>s</w:t>
      </w:r>
      <w:r w:rsidRPr="00D25CC0">
        <w:rPr>
          <w:rFonts w:asciiTheme="majorHAnsi" w:hAnsiTheme="majorHAnsi"/>
          <w:iCs/>
        </w:rPr>
        <w:t xml:space="preserve"> </w:t>
      </w:r>
      <w:r w:rsidR="006623A3">
        <w:rPr>
          <w:rFonts w:asciiTheme="majorHAnsi" w:hAnsiTheme="majorHAnsi"/>
          <w:iCs/>
        </w:rPr>
        <w:t>touches</w:t>
      </w:r>
      <w:r w:rsidR="00076674" w:rsidRPr="00D25CC0">
        <w:rPr>
          <w:rFonts w:asciiTheme="majorHAnsi" w:hAnsiTheme="majorHAnsi"/>
          <w:iCs/>
        </w:rPr>
        <w:t xml:space="preserve"> a truck </w:t>
      </w:r>
      <w:r w:rsidRPr="00D25CC0">
        <w:rPr>
          <w:rFonts w:asciiTheme="majorHAnsi" w:hAnsiTheme="majorHAnsi"/>
          <w:iCs/>
        </w:rPr>
        <w:t>at least once</w:t>
      </w:r>
    </w:p>
    <w:p w14:paraId="5129BF92" w14:textId="46406005" w:rsidR="000909C6" w:rsidRPr="00D25CC0" w:rsidRDefault="000909C6" w:rsidP="00CF7B56">
      <w:pPr>
        <w:pStyle w:val="ListParagraph"/>
        <w:numPr>
          <w:ilvl w:val="2"/>
          <w:numId w:val="2"/>
        </w:numPr>
        <w:outlineLvl w:val="1"/>
        <w:rPr>
          <w:rFonts w:asciiTheme="majorHAnsi" w:hAnsiTheme="majorHAnsi"/>
          <w:iCs/>
        </w:rPr>
      </w:pPr>
      <w:r w:rsidRPr="00D25CC0">
        <w:rPr>
          <w:rFonts w:asciiTheme="majorHAnsi" w:hAnsiTheme="majorHAnsi"/>
          <w:iCs/>
        </w:rPr>
        <w:t>In 201</w:t>
      </w:r>
      <w:r w:rsidR="00CD226B">
        <w:rPr>
          <w:rFonts w:asciiTheme="majorHAnsi" w:hAnsiTheme="majorHAnsi"/>
          <w:iCs/>
        </w:rPr>
        <w:t>7</w:t>
      </w:r>
      <w:r w:rsidRPr="00D25CC0">
        <w:rPr>
          <w:rFonts w:asciiTheme="majorHAnsi" w:hAnsiTheme="majorHAnsi"/>
          <w:iCs/>
        </w:rPr>
        <w:t xml:space="preserve">, </w:t>
      </w:r>
      <w:r w:rsidR="00C71DE7" w:rsidRPr="00D25CC0">
        <w:rPr>
          <w:rFonts w:asciiTheme="majorHAnsi" w:hAnsiTheme="majorHAnsi"/>
          <w:iCs/>
        </w:rPr>
        <w:t>45.8</w:t>
      </w:r>
      <w:r w:rsidRPr="00D25CC0">
        <w:rPr>
          <w:rFonts w:asciiTheme="majorHAnsi" w:hAnsiTheme="majorHAnsi"/>
          <w:iCs/>
        </w:rPr>
        <w:t xml:space="preserve"> million tons moved by truck (51%)</w:t>
      </w:r>
    </w:p>
    <w:p w14:paraId="4698BFEF" w14:textId="21A9A907" w:rsidR="00963ADA" w:rsidRPr="00D25CC0" w:rsidRDefault="00963ADA" w:rsidP="00CF7B56">
      <w:pPr>
        <w:outlineLvl w:val="1"/>
        <w:rPr>
          <w:rFonts w:asciiTheme="majorHAnsi" w:hAnsiTheme="majorHAnsi"/>
          <w:iCs/>
          <w:sz w:val="22"/>
          <w:szCs w:val="22"/>
        </w:rPr>
      </w:pPr>
    </w:p>
    <w:p w14:paraId="08DBE57E" w14:textId="7DF9E1CD" w:rsidR="00206D6E" w:rsidRPr="00D25CC0" w:rsidRDefault="00F5595F" w:rsidP="00CF7B56">
      <w:pPr>
        <w:pStyle w:val="ListParagraph"/>
        <w:numPr>
          <w:ilvl w:val="0"/>
          <w:numId w:val="5"/>
        </w:numPr>
        <w:outlineLvl w:val="1"/>
        <w:rPr>
          <w:rFonts w:asciiTheme="majorHAnsi" w:hAnsiTheme="majorHAnsi"/>
          <w:iCs/>
        </w:rPr>
      </w:pPr>
      <w:r w:rsidRPr="00D25CC0">
        <w:rPr>
          <w:rFonts w:asciiTheme="majorHAnsi" w:hAnsiTheme="majorHAnsi"/>
          <w:iCs/>
        </w:rPr>
        <w:t xml:space="preserve">Modal shift:  </w:t>
      </w:r>
      <w:r w:rsidR="008A258A" w:rsidRPr="00D25CC0">
        <w:rPr>
          <w:rFonts w:asciiTheme="majorHAnsi" w:hAnsiTheme="majorHAnsi"/>
          <w:iCs/>
        </w:rPr>
        <w:t xml:space="preserve">Between </w:t>
      </w:r>
      <w:r w:rsidR="007F4CDA" w:rsidRPr="00D25CC0">
        <w:rPr>
          <w:rFonts w:asciiTheme="majorHAnsi" w:hAnsiTheme="majorHAnsi"/>
          <w:iCs/>
        </w:rPr>
        <w:t>2012</w:t>
      </w:r>
      <w:r w:rsidR="008A258A" w:rsidRPr="00D25CC0">
        <w:rPr>
          <w:rFonts w:asciiTheme="majorHAnsi" w:hAnsiTheme="majorHAnsi"/>
          <w:iCs/>
        </w:rPr>
        <w:t xml:space="preserve"> and 201</w:t>
      </w:r>
      <w:r w:rsidR="007F4CDA" w:rsidRPr="00D25CC0">
        <w:rPr>
          <w:rFonts w:asciiTheme="majorHAnsi" w:hAnsiTheme="majorHAnsi"/>
          <w:iCs/>
        </w:rPr>
        <w:t>7</w:t>
      </w:r>
      <w:r w:rsidR="008A258A" w:rsidRPr="00D25CC0">
        <w:rPr>
          <w:rFonts w:asciiTheme="majorHAnsi" w:hAnsiTheme="majorHAnsi"/>
          <w:iCs/>
        </w:rPr>
        <w:t xml:space="preserve">, </w:t>
      </w:r>
      <w:r w:rsidR="007F4CDA" w:rsidRPr="00D25CC0">
        <w:rPr>
          <w:rFonts w:asciiTheme="majorHAnsi" w:hAnsiTheme="majorHAnsi"/>
          <w:iCs/>
        </w:rPr>
        <w:t xml:space="preserve">total ton-miles </w:t>
      </w:r>
      <w:r w:rsidR="0095423B" w:rsidRPr="00D25CC0">
        <w:rPr>
          <w:rFonts w:asciiTheme="majorHAnsi" w:hAnsiTheme="majorHAnsi"/>
          <w:iCs/>
        </w:rPr>
        <w:t>decreased by 7</w:t>
      </w:r>
      <w:r w:rsidR="00D25CC0">
        <w:rPr>
          <w:rFonts w:asciiTheme="majorHAnsi" w:hAnsiTheme="majorHAnsi"/>
          <w:iCs/>
        </w:rPr>
        <w:t xml:space="preserve">% </w:t>
      </w:r>
      <w:r w:rsidR="0095423B" w:rsidRPr="00D25CC0">
        <w:rPr>
          <w:rFonts w:asciiTheme="majorHAnsi" w:hAnsiTheme="majorHAnsi"/>
          <w:iCs/>
        </w:rPr>
        <w:t>from 54.2 billion to 50.</w:t>
      </w:r>
      <w:r w:rsidR="0021469E" w:rsidRPr="00D25CC0">
        <w:rPr>
          <w:rFonts w:asciiTheme="majorHAnsi" w:hAnsiTheme="majorHAnsi"/>
          <w:iCs/>
        </w:rPr>
        <w:t>2</w:t>
      </w:r>
      <w:r w:rsidR="0095423B" w:rsidRPr="00D25CC0">
        <w:rPr>
          <w:rFonts w:asciiTheme="majorHAnsi" w:hAnsiTheme="majorHAnsi"/>
          <w:iCs/>
        </w:rPr>
        <w:t xml:space="preserve"> billion. </w:t>
      </w:r>
      <w:r w:rsidR="00206D6E" w:rsidRPr="00D25CC0">
        <w:rPr>
          <w:rFonts w:asciiTheme="majorHAnsi" w:hAnsiTheme="majorHAnsi"/>
          <w:iCs/>
        </w:rPr>
        <w:t>There were significant changes within the modes due to volume shifts associated with increased U.S. production of fertilizers for nitrogen products</w:t>
      </w:r>
      <w:r w:rsidR="009726C3">
        <w:rPr>
          <w:rFonts w:asciiTheme="majorHAnsi" w:hAnsiTheme="majorHAnsi"/>
          <w:iCs/>
        </w:rPr>
        <w:t>, includ</w:t>
      </w:r>
      <w:r w:rsidR="00736A87">
        <w:rPr>
          <w:rFonts w:asciiTheme="majorHAnsi" w:hAnsiTheme="majorHAnsi"/>
          <w:iCs/>
        </w:rPr>
        <w:t>ing</w:t>
      </w:r>
      <w:r w:rsidR="009726C3">
        <w:rPr>
          <w:rFonts w:asciiTheme="majorHAnsi" w:hAnsiTheme="majorHAnsi"/>
          <w:iCs/>
        </w:rPr>
        <w:t xml:space="preserve"> </w:t>
      </w:r>
      <w:r w:rsidR="005A6325">
        <w:rPr>
          <w:rFonts w:asciiTheme="majorHAnsi" w:hAnsiTheme="majorHAnsi"/>
          <w:iCs/>
        </w:rPr>
        <w:t xml:space="preserve">new </w:t>
      </w:r>
      <w:r w:rsidR="009726C3">
        <w:rPr>
          <w:rFonts w:asciiTheme="majorHAnsi" w:hAnsiTheme="majorHAnsi"/>
          <w:iCs/>
        </w:rPr>
        <w:t xml:space="preserve">production </w:t>
      </w:r>
      <w:r w:rsidR="00736A87">
        <w:rPr>
          <w:rFonts w:asciiTheme="majorHAnsi" w:hAnsiTheme="majorHAnsi"/>
          <w:iCs/>
        </w:rPr>
        <w:t xml:space="preserve">being located </w:t>
      </w:r>
      <w:r w:rsidR="009726C3">
        <w:rPr>
          <w:rFonts w:asciiTheme="majorHAnsi" w:hAnsiTheme="majorHAnsi"/>
          <w:iCs/>
        </w:rPr>
        <w:t>closer to end users</w:t>
      </w:r>
      <w:r w:rsidR="00206D6E" w:rsidRPr="00D25CC0">
        <w:rPr>
          <w:rFonts w:asciiTheme="majorHAnsi" w:hAnsiTheme="majorHAnsi"/>
          <w:iCs/>
        </w:rPr>
        <w:t xml:space="preserve">. Total </w:t>
      </w:r>
      <w:r w:rsidR="00206D6E" w:rsidRPr="00206D6E">
        <w:rPr>
          <w:rFonts w:asciiTheme="majorHAnsi" w:hAnsiTheme="majorHAnsi"/>
          <w:iCs/>
        </w:rPr>
        <w:t>ton-miles for barge declined 1</w:t>
      </w:r>
      <w:r w:rsidR="000C246D">
        <w:rPr>
          <w:rFonts w:asciiTheme="majorHAnsi" w:hAnsiTheme="majorHAnsi"/>
          <w:iCs/>
        </w:rPr>
        <w:t>6</w:t>
      </w:r>
      <w:r w:rsidR="00206D6E" w:rsidRPr="00206D6E">
        <w:rPr>
          <w:rFonts w:asciiTheme="majorHAnsi" w:hAnsiTheme="majorHAnsi"/>
          <w:iCs/>
        </w:rPr>
        <w:t>% and pipeline ton-miles declined by 5%. Both truck</w:t>
      </w:r>
      <w:r w:rsidR="00206D6E" w:rsidRPr="00D25CC0">
        <w:rPr>
          <w:rFonts w:asciiTheme="majorHAnsi" w:hAnsiTheme="majorHAnsi"/>
          <w:iCs/>
        </w:rPr>
        <w:t xml:space="preserve"> and rail increased ton-miles by 3%</w:t>
      </w:r>
      <w:r w:rsidR="00BF7519">
        <w:rPr>
          <w:rFonts w:asciiTheme="majorHAnsi" w:hAnsiTheme="majorHAnsi"/>
          <w:iCs/>
        </w:rPr>
        <w:t>.</w:t>
      </w:r>
      <w:r w:rsidR="009563BB">
        <w:rPr>
          <w:rStyle w:val="FootnoteReference"/>
          <w:rFonts w:asciiTheme="majorHAnsi" w:hAnsiTheme="majorHAnsi"/>
          <w:iCs/>
        </w:rPr>
        <w:footnoteReference w:id="2"/>
      </w:r>
      <w:r w:rsidR="001B0112">
        <w:rPr>
          <w:rFonts w:asciiTheme="majorHAnsi" w:hAnsiTheme="majorHAnsi"/>
          <w:iCs/>
        </w:rPr>
        <w:t xml:space="preserve"> Rising domestic production contribute</w:t>
      </w:r>
      <w:r w:rsidR="00B144AD">
        <w:rPr>
          <w:rFonts w:asciiTheme="majorHAnsi" w:hAnsiTheme="majorHAnsi"/>
          <w:iCs/>
        </w:rPr>
        <w:t>d</w:t>
      </w:r>
      <w:r w:rsidR="001B0112">
        <w:rPr>
          <w:rFonts w:asciiTheme="majorHAnsi" w:hAnsiTheme="majorHAnsi"/>
          <w:iCs/>
        </w:rPr>
        <w:t xml:space="preserve"> to </w:t>
      </w:r>
      <w:r w:rsidR="00B144AD">
        <w:rPr>
          <w:rFonts w:asciiTheme="majorHAnsi" w:hAnsiTheme="majorHAnsi"/>
          <w:iCs/>
        </w:rPr>
        <w:t>lower</w:t>
      </w:r>
      <w:r w:rsidR="00847961">
        <w:rPr>
          <w:rFonts w:asciiTheme="majorHAnsi" w:hAnsiTheme="majorHAnsi"/>
          <w:iCs/>
        </w:rPr>
        <w:t xml:space="preserve"> reliance on</w:t>
      </w:r>
      <w:r w:rsidR="00EA4195">
        <w:rPr>
          <w:rFonts w:asciiTheme="majorHAnsi" w:hAnsiTheme="majorHAnsi"/>
          <w:iCs/>
        </w:rPr>
        <w:t xml:space="preserve"> barge movements, which is a mode </w:t>
      </w:r>
      <w:r w:rsidR="00204BA2">
        <w:rPr>
          <w:rFonts w:asciiTheme="majorHAnsi" w:hAnsiTheme="majorHAnsi"/>
          <w:iCs/>
        </w:rPr>
        <w:t xml:space="preserve">also </w:t>
      </w:r>
      <w:r w:rsidR="004B5ACF">
        <w:rPr>
          <w:rFonts w:asciiTheme="majorHAnsi" w:hAnsiTheme="majorHAnsi"/>
          <w:iCs/>
        </w:rPr>
        <w:t xml:space="preserve">heavily </w:t>
      </w:r>
      <w:r w:rsidR="00EA4195">
        <w:rPr>
          <w:rFonts w:asciiTheme="majorHAnsi" w:hAnsiTheme="majorHAnsi"/>
          <w:iCs/>
        </w:rPr>
        <w:t xml:space="preserve">utilized </w:t>
      </w:r>
      <w:r w:rsidR="00F33792">
        <w:rPr>
          <w:rFonts w:asciiTheme="majorHAnsi" w:hAnsiTheme="majorHAnsi"/>
          <w:iCs/>
        </w:rPr>
        <w:t>for</w:t>
      </w:r>
      <w:r w:rsidR="006240E6">
        <w:rPr>
          <w:rFonts w:asciiTheme="majorHAnsi" w:hAnsiTheme="majorHAnsi"/>
          <w:iCs/>
        </w:rPr>
        <w:t xml:space="preserve"> imports of f</w:t>
      </w:r>
      <w:r w:rsidR="00B07D9C">
        <w:rPr>
          <w:rFonts w:asciiTheme="majorHAnsi" w:hAnsiTheme="majorHAnsi"/>
          <w:iCs/>
        </w:rPr>
        <w:t>ertilizer products</w:t>
      </w:r>
      <w:r w:rsidR="00204BA2">
        <w:rPr>
          <w:rFonts w:asciiTheme="majorHAnsi" w:hAnsiTheme="majorHAnsi"/>
          <w:iCs/>
        </w:rPr>
        <w:t xml:space="preserve">. </w:t>
      </w:r>
      <w:r w:rsidR="00616230">
        <w:rPr>
          <w:rFonts w:asciiTheme="majorHAnsi" w:hAnsiTheme="majorHAnsi"/>
          <w:iCs/>
        </w:rPr>
        <w:t>Rising domestic production has reduced fertilizer imports.</w:t>
      </w:r>
    </w:p>
    <w:p w14:paraId="0E5F9D3F" w14:textId="6BFEBD3E" w:rsidR="00F61B27" w:rsidRDefault="00126B10" w:rsidP="00CF7B56">
      <w:pPr>
        <w:pBdr>
          <w:bottom w:val="single" w:sz="6" w:space="1" w:color="auto"/>
        </w:pBdr>
        <w:jc w:val="center"/>
        <w:outlineLvl w:val="1"/>
        <w:rPr>
          <w:rFonts w:asciiTheme="majorHAnsi" w:hAnsiTheme="majorHAnsi"/>
          <w:b/>
          <w:color w:val="ED7D31" w:themeColor="accent2"/>
          <w:sz w:val="32"/>
          <w:szCs w:val="32"/>
        </w:rPr>
      </w:pPr>
      <w:r w:rsidRPr="005672E3">
        <w:rPr>
          <w:rFonts w:asciiTheme="majorHAnsi" w:hAnsiTheme="majorHAnsi"/>
          <w:b/>
          <w:color w:val="ED7D31" w:themeColor="accent2"/>
          <w:sz w:val="32"/>
          <w:szCs w:val="32"/>
        </w:rPr>
        <w:lastRenderedPageBreak/>
        <w:t>Fertilizer Logistics and Transportation</w:t>
      </w:r>
    </w:p>
    <w:p w14:paraId="302D7AC1" w14:textId="77777777" w:rsidR="00126B10" w:rsidRPr="00D25CC0" w:rsidRDefault="00126B10" w:rsidP="00CF7B56">
      <w:pPr>
        <w:pBdr>
          <w:bottom w:val="single" w:sz="6" w:space="1" w:color="auto"/>
        </w:pBdr>
        <w:jc w:val="center"/>
        <w:outlineLvl w:val="1"/>
        <w:rPr>
          <w:rFonts w:asciiTheme="majorHAnsi" w:hAnsiTheme="majorHAnsi"/>
          <w:color w:val="ED7D31" w:themeColor="accent2"/>
          <w:sz w:val="22"/>
          <w:szCs w:val="22"/>
        </w:rPr>
      </w:pPr>
    </w:p>
    <w:p w14:paraId="102905A0" w14:textId="5C1822B2" w:rsidR="00643942" w:rsidRPr="00D25CC0" w:rsidRDefault="00643942" w:rsidP="00CF7B56">
      <w:pPr>
        <w:outlineLvl w:val="1"/>
        <w:rPr>
          <w:rFonts w:asciiTheme="majorHAnsi" w:hAnsiTheme="majorHAnsi"/>
          <w:b/>
          <w:color w:val="ED7D31" w:themeColor="accent2"/>
          <w:sz w:val="22"/>
          <w:szCs w:val="22"/>
        </w:rPr>
      </w:pPr>
      <w:bookmarkStart w:id="1" w:name="_Hlk5288458"/>
    </w:p>
    <w:p w14:paraId="79B4197E" w14:textId="06382006" w:rsidR="00117334" w:rsidRPr="00D25CC0" w:rsidRDefault="00434AF7" w:rsidP="00CF7B56">
      <w:pPr>
        <w:outlineLvl w:val="1"/>
        <w:rPr>
          <w:rFonts w:asciiTheme="majorHAnsi" w:hAnsiTheme="majorHAnsi"/>
          <w:sz w:val="22"/>
          <w:szCs w:val="22"/>
        </w:rPr>
      </w:pPr>
      <w:r w:rsidRPr="00D25CC0">
        <w:rPr>
          <w:rFonts w:asciiTheme="majorHAnsi" w:hAnsiTheme="majorHAnsi"/>
          <w:b/>
          <w:color w:val="ED7D31" w:themeColor="accent2"/>
          <w:sz w:val="22"/>
          <w:szCs w:val="22"/>
        </w:rPr>
        <w:t>Rail Transportation:</w:t>
      </w:r>
      <w:r w:rsidRPr="00D25CC0">
        <w:rPr>
          <w:rFonts w:asciiTheme="majorHAnsi" w:hAnsiTheme="majorHAnsi"/>
          <w:sz w:val="22"/>
          <w:szCs w:val="22"/>
        </w:rPr>
        <w:t xml:space="preserve">  </w:t>
      </w:r>
      <w:r w:rsidR="00117334" w:rsidRPr="00D25CC0">
        <w:rPr>
          <w:rFonts w:asciiTheme="majorHAnsi" w:hAnsiTheme="majorHAnsi"/>
          <w:sz w:val="22"/>
          <w:szCs w:val="22"/>
        </w:rPr>
        <w:t xml:space="preserve">An efficient and competitive freight rail system is essential to farmers and the fertilizer industry. </w:t>
      </w:r>
      <w:r w:rsidR="007B7656" w:rsidRPr="00D25CC0">
        <w:rPr>
          <w:rFonts w:asciiTheme="majorHAnsi" w:hAnsiTheme="majorHAnsi"/>
          <w:sz w:val="22"/>
          <w:szCs w:val="22"/>
        </w:rPr>
        <w:t>But</w:t>
      </w:r>
      <w:r w:rsidR="00117334" w:rsidRPr="00D25CC0">
        <w:rPr>
          <w:rFonts w:asciiTheme="majorHAnsi" w:hAnsiTheme="majorHAnsi"/>
          <w:sz w:val="22"/>
          <w:szCs w:val="22"/>
        </w:rPr>
        <w:t xml:space="preserve"> four major railroads handle over 90% of this traffic, and two-thirds of rail stations are served by just one of these railroads. The lack of competitive rail options gives railroads substantial power to dictate rail pricing and service levels. Since 2000, </w:t>
      </w:r>
      <w:r w:rsidR="00D918DE">
        <w:rPr>
          <w:rFonts w:asciiTheme="majorHAnsi" w:hAnsiTheme="majorHAnsi"/>
          <w:sz w:val="22"/>
          <w:szCs w:val="22"/>
        </w:rPr>
        <w:t>rail carriers have</w:t>
      </w:r>
      <w:r w:rsidR="009E310C">
        <w:rPr>
          <w:rFonts w:asciiTheme="majorHAnsi" w:hAnsiTheme="majorHAnsi"/>
          <w:sz w:val="22"/>
          <w:szCs w:val="22"/>
        </w:rPr>
        <w:t xml:space="preserve"> been</w:t>
      </w:r>
      <w:r w:rsidR="00117334" w:rsidRPr="00D25CC0">
        <w:rPr>
          <w:rFonts w:asciiTheme="majorHAnsi" w:hAnsiTheme="majorHAnsi"/>
          <w:sz w:val="22"/>
          <w:szCs w:val="22"/>
        </w:rPr>
        <w:t xml:space="preserve"> shifting costs to rail customers. From 2005 to 2017, rail rates for carloads of anhydrous ammonia, the building block of all nitrogen fertilizers and one of the most efficient sources of nitrogen for farmers, increased 206%, over three times more than the increase in the system-wide average rail rate per car.</w:t>
      </w:r>
      <w:r w:rsidR="004D25C1">
        <w:rPr>
          <w:rFonts w:asciiTheme="majorHAnsi" w:hAnsiTheme="majorHAnsi"/>
          <w:sz w:val="22"/>
          <w:szCs w:val="22"/>
        </w:rPr>
        <w:t xml:space="preserve"> </w:t>
      </w:r>
      <w:r w:rsidR="009A6411">
        <w:rPr>
          <w:rFonts w:asciiTheme="majorHAnsi" w:hAnsiTheme="majorHAnsi"/>
          <w:sz w:val="22"/>
          <w:szCs w:val="22"/>
        </w:rPr>
        <w:t xml:space="preserve">Since 2017, </w:t>
      </w:r>
      <w:r w:rsidR="00F31421">
        <w:rPr>
          <w:rFonts w:asciiTheme="majorHAnsi" w:hAnsiTheme="majorHAnsi"/>
          <w:sz w:val="22"/>
          <w:szCs w:val="22"/>
        </w:rPr>
        <w:t xml:space="preserve">severe </w:t>
      </w:r>
      <w:r w:rsidR="009A6411">
        <w:rPr>
          <w:rFonts w:asciiTheme="majorHAnsi" w:hAnsiTheme="majorHAnsi"/>
          <w:sz w:val="22"/>
          <w:szCs w:val="22"/>
        </w:rPr>
        <w:t>r</w:t>
      </w:r>
      <w:r w:rsidR="004D25C1">
        <w:rPr>
          <w:rFonts w:asciiTheme="majorHAnsi" w:hAnsiTheme="majorHAnsi"/>
          <w:sz w:val="22"/>
          <w:szCs w:val="22"/>
        </w:rPr>
        <w:t>ail carrier cost-cutting decisions have made rail service u</w:t>
      </w:r>
      <w:r w:rsidR="00E610FD">
        <w:rPr>
          <w:rFonts w:asciiTheme="majorHAnsi" w:hAnsiTheme="majorHAnsi"/>
          <w:sz w:val="22"/>
          <w:szCs w:val="22"/>
        </w:rPr>
        <w:t>nreasonabl</w:t>
      </w:r>
      <w:r w:rsidR="00886A4A">
        <w:rPr>
          <w:rFonts w:asciiTheme="majorHAnsi" w:hAnsiTheme="majorHAnsi"/>
          <w:sz w:val="22"/>
          <w:szCs w:val="22"/>
        </w:rPr>
        <w:t>y poor</w:t>
      </w:r>
      <w:r w:rsidR="00E610FD">
        <w:rPr>
          <w:rFonts w:asciiTheme="majorHAnsi" w:hAnsiTheme="majorHAnsi"/>
          <w:sz w:val="22"/>
          <w:szCs w:val="22"/>
        </w:rPr>
        <w:t>.</w:t>
      </w:r>
    </w:p>
    <w:p w14:paraId="0D42E67F" w14:textId="77777777" w:rsidR="00117334" w:rsidRPr="00D25CC0" w:rsidRDefault="00117334" w:rsidP="00CF7B56">
      <w:pPr>
        <w:outlineLvl w:val="1"/>
        <w:rPr>
          <w:rFonts w:asciiTheme="majorHAnsi" w:hAnsiTheme="majorHAnsi"/>
          <w:sz w:val="22"/>
          <w:szCs w:val="22"/>
        </w:rPr>
      </w:pPr>
    </w:p>
    <w:p w14:paraId="2D2B7577" w14:textId="00CE9F68" w:rsidR="00434AF7" w:rsidRPr="00D25CC0" w:rsidRDefault="00834917" w:rsidP="00602A11">
      <w:pPr>
        <w:outlineLvl w:val="1"/>
        <w:rPr>
          <w:rFonts w:asciiTheme="majorHAnsi" w:hAnsiTheme="majorHAnsi"/>
          <w:sz w:val="22"/>
          <w:szCs w:val="22"/>
        </w:rPr>
      </w:pPr>
      <w:r>
        <w:rPr>
          <w:rFonts w:asciiTheme="majorHAnsi" w:hAnsiTheme="majorHAnsi"/>
          <w:bCs/>
          <w:sz w:val="22"/>
          <w:szCs w:val="22"/>
        </w:rPr>
        <w:t xml:space="preserve">Congress should work with the </w:t>
      </w:r>
      <w:r w:rsidRPr="00D25CC0">
        <w:rPr>
          <w:rFonts w:asciiTheme="majorHAnsi" w:hAnsiTheme="majorHAnsi"/>
          <w:sz w:val="22"/>
          <w:szCs w:val="22"/>
        </w:rPr>
        <w:t>Surface Transportation Board (STB)</w:t>
      </w:r>
      <w:r w:rsidR="0048065F">
        <w:rPr>
          <w:rFonts w:asciiTheme="majorHAnsi" w:hAnsiTheme="majorHAnsi"/>
          <w:sz w:val="22"/>
          <w:szCs w:val="22"/>
        </w:rPr>
        <w:t xml:space="preserve"> </w:t>
      </w:r>
      <w:r>
        <w:rPr>
          <w:rFonts w:asciiTheme="majorHAnsi" w:hAnsiTheme="majorHAnsi"/>
          <w:bCs/>
          <w:sz w:val="22"/>
          <w:szCs w:val="22"/>
        </w:rPr>
        <w:t>to</w:t>
      </w:r>
      <w:r w:rsidRPr="0006537A">
        <w:rPr>
          <w:rFonts w:asciiTheme="majorHAnsi" w:hAnsiTheme="majorHAnsi"/>
          <w:bCs/>
          <w:sz w:val="22"/>
          <w:szCs w:val="22"/>
        </w:rPr>
        <w:t xml:space="preserve"> </w:t>
      </w:r>
      <w:r>
        <w:rPr>
          <w:rFonts w:asciiTheme="majorHAnsi" w:hAnsiTheme="majorHAnsi"/>
          <w:bCs/>
          <w:sz w:val="22"/>
          <w:szCs w:val="22"/>
        </w:rPr>
        <w:t>clarify that reasonable rail service standards are part of</w:t>
      </w:r>
      <w:r w:rsidRPr="0006537A">
        <w:rPr>
          <w:rFonts w:asciiTheme="majorHAnsi" w:hAnsiTheme="majorHAnsi"/>
          <w:bCs/>
          <w:sz w:val="22"/>
          <w:szCs w:val="22"/>
        </w:rPr>
        <w:t xml:space="preserve"> the common carrier obligation</w:t>
      </w:r>
      <w:r w:rsidR="001C50F0">
        <w:rPr>
          <w:rFonts w:asciiTheme="majorHAnsi" w:hAnsiTheme="majorHAnsi"/>
          <w:bCs/>
          <w:sz w:val="22"/>
          <w:szCs w:val="22"/>
        </w:rPr>
        <w:t xml:space="preserve"> (CCO)</w:t>
      </w:r>
      <w:r>
        <w:rPr>
          <w:rFonts w:asciiTheme="majorHAnsi" w:hAnsiTheme="majorHAnsi"/>
          <w:bCs/>
          <w:sz w:val="22"/>
          <w:szCs w:val="22"/>
        </w:rPr>
        <w:t xml:space="preserve">. </w:t>
      </w:r>
      <w:r w:rsidR="00117334" w:rsidRPr="00D25CC0">
        <w:rPr>
          <w:rFonts w:asciiTheme="majorHAnsi" w:hAnsiTheme="majorHAnsi"/>
          <w:sz w:val="22"/>
          <w:szCs w:val="22"/>
        </w:rPr>
        <w:t xml:space="preserve">The STB is the primary regulatory agency responsible for rail rate and service matters. </w:t>
      </w:r>
      <w:r w:rsidR="001C50F0">
        <w:rPr>
          <w:rFonts w:asciiTheme="majorHAnsi" w:hAnsiTheme="majorHAnsi"/>
          <w:sz w:val="22"/>
          <w:szCs w:val="22"/>
        </w:rPr>
        <w:t>In addition to the CCO, p</w:t>
      </w:r>
      <w:r w:rsidR="00117334" w:rsidRPr="00D25CC0">
        <w:rPr>
          <w:rFonts w:asciiTheme="majorHAnsi" w:hAnsiTheme="majorHAnsi"/>
          <w:sz w:val="22"/>
          <w:szCs w:val="22"/>
        </w:rPr>
        <w:t>ractical regulatory reforms that improve STB oversight of the rail marketplace are needed. STB modernization can help promote competitive freight rail service.</w:t>
      </w:r>
    </w:p>
    <w:p w14:paraId="674EB7A6" w14:textId="77777777" w:rsidR="00AB1E8F" w:rsidRPr="00D25CC0" w:rsidRDefault="00AB1E8F" w:rsidP="00CF7B56">
      <w:pPr>
        <w:outlineLvl w:val="1"/>
        <w:rPr>
          <w:rFonts w:asciiTheme="majorHAnsi" w:hAnsiTheme="majorHAnsi"/>
          <w:b/>
          <w:color w:val="ED7D31" w:themeColor="accent2"/>
          <w:sz w:val="22"/>
          <w:szCs w:val="22"/>
        </w:rPr>
      </w:pPr>
    </w:p>
    <w:p w14:paraId="0D95F3AE" w14:textId="7C540D45" w:rsidR="00C75302" w:rsidRPr="00D25CC0" w:rsidRDefault="00C75302" w:rsidP="00CF7B56">
      <w:pPr>
        <w:outlineLvl w:val="1"/>
        <w:rPr>
          <w:rFonts w:asciiTheme="majorHAnsi" w:hAnsiTheme="majorHAnsi"/>
          <w:sz w:val="22"/>
          <w:szCs w:val="22"/>
        </w:rPr>
      </w:pPr>
      <w:r w:rsidRPr="00D25CC0">
        <w:rPr>
          <w:rFonts w:asciiTheme="majorHAnsi" w:hAnsiTheme="majorHAnsi"/>
          <w:b/>
          <w:color w:val="ED7D31" w:themeColor="accent2"/>
          <w:sz w:val="22"/>
          <w:szCs w:val="22"/>
        </w:rPr>
        <w:t>Surface Transportation:</w:t>
      </w:r>
      <w:r w:rsidRPr="00D25CC0">
        <w:rPr>
          <w:rFonts w:asciiTheme="majorHAnsi" w:hAnsiTheme="majorHAnsi"/>
          <w:sz w:val="22"/>
          <w:szCs w:val="22"/>
        </w:rPr>
        <w:t xml:space="preserve">  </w:t>
      </w:r>
      <w:r w:rsidR="003D249A" w:rsidRPr="00D25CC0">
        <w:rPr>
          <w:rFonts w:asciiTheme="majorHAnsi" w:hAnsiTheme="majorHAnsi"/>
          <w:sz w:val="22"/>
          <w:szCs w:val="22"/>
        </w:rPr>
        <w:t>The fertilizer industry relies on commercial drivers for “just in time” delivery to their farmer customers.</w:t>
      </w:r>
      <w:r w:rsidR="00994A47" w:rsidRPr="00D25CC0">
        <w:rPr>
          <w:rFonts w:asciiTheme="majorHAnsi" w:hAnsiTheme="majorHAnsi"/>
          <w:sz w:val="22"/>
          <w:szCs w:val="22"/>
        </w:rPr>
        <w:t xml:space="preserve"> </w:t>
      </w:r>
      <w:r w:rsidR="00F61B27" w:rsidRPr="00D25CC0">
        <w:rPr>
          <w:rFonts w:asciiTheme="majorHAnsi" w:hAnsiTheme="majorHAnsi"/>
          <w:sz w:val="22"/>
          <w:szCs w:val="22"/>
        </w:rPr>
        <w:t xml:space="preserve">Trucking capacity is </w:t>
      </w:r>
      <w:r w:rsidR="00AB1E8F" w:rsidRPr="00D25CC0">
        <w:rPr>
          <w:rFonts w:asciiTheme="majorHAnsi" w:hAnsiTheme="majorHAnsi"/>
          <w:sz w:val="22"/>
          <w:szCs w:val="22"/>
        </w:rPr>
        <w:t xml:space="preserve">a </w:t>
      </w:r>
      <w:r w:rsidR="00F61B27" w:rsidRPr="00D25CC0">
        <w:rPr>
          <w:rFonts w:asciiTheme="majorHAnsi" w:hAnsiTheme="majorHAnsi"/>
          <w:sz w:val="22"/>
          <w:szCs w:val="22"/>
        </w:rPr>
        <w:t>serious challenge.</w:t>
      </w:r>
      <w:r w:rsidR="006D37B0" w:rsidRPr="00D25CC0">
        <w:rPr>
          <w:rFonts w:asciiTheme="majorHAnsi" w:hAnsiTheme="majorHAnsi"/>
          <w:sz w:val="22"/>
          <w:szCs w:val="22"/>
        </w:rPr>
        <w:t xml:space="preserve"> </w:t>
      </w:r>
      <w:bookmarkStart w:id="2" w:name="_Hlk6835963"/>
      <w:r w:rsidR="00473729">
        <w:rPr>
          <w:rFonts w:asciiTheme="majorHAnsi" w:hAnsiTheme="majorHAnsi"/>
          <w:sz w:val="22"/>
          <w:szCs w:val="22"/>
        </w:rPr>
        <w:t>The vaccine mandate on Canadian trucker</w:t>
      </w:r>
      <w:r w:rsidR="00513EC3">
        <w:rPr>
          <w:rFonts w:asciiTheme="majorHAnsi" w:hAnsiTheme="majorHAnsi"/>
          <w:sz w:val="22"/>
          <w:szCs w:val="22"/>
        </w:rPr>
        <w:t>s should be eliminated.</w:t>
      </w:r>
      <w:r w:rsidR="00F36D2E">
        <w:rPr>
          <w:rFonts w:asciiTheme="majorHAnsi" w:hAnsiTheme="majorHAnsi"/>
          <w:sz w:val="22"/>
          <w:szCs w:val="22"/>
        </w:rPr>
        <w:t xml:space="preserve"> Driver apprenticeship programs should be promoted.</w:t>
      </w:r>
      <w:r w:rsidR="00513EC3">
        <w:rPr>
          <w:rFonts w:asciiTheme="majorHAnsi" w:hAnsiTheme="majorHAnsi"/>
          <w:sz w:val="22"/>
          <w:szCs w:val="22"/>
        </w:rPr>
        <w:t xml:space="preserve"> </w:t>
      </w:r>
      <w:r w:rsidR="006D37B0" w:rsidRPr="00D25CC0">
        <w:rPr>
          <w:rFonts w:asciiTheme="majorHAnsi" w:hAnsiTheme="majorHAnsi"/>
          <w:sz w:val="22"/>
          <w:szCs w:val="22"/>
        </w:rPr>
        <w:t>Hours of service</w:t>
      </w:r>
      <w:r w:rsidR="00235D37" w:rsidRPr="00D25CC0">
        <w:rPr>
          <w:rFonts w:asciiTheme="majorHAnsi" w:hAnsiTheme="majorHAnsi"/>
          <w:sz w:val="22"/>
          <w:szCs w:val="22"/>
        </w:rPr>
        <w:t xml:space="preserve"> (HOS)</w:t>
      </w:r>
      <w:r w:rsidR="006D37B0" w:rsidRPr="00D25CC0">
        <w:rPr>
          <w:rFonts w:asciiTheme="majorHAnsi" w:hAnsiTheme="majorHAnsi"/>
          <w:sz w:val="22"/>
          <w:szCs w:val="22"/>
        </w:rPr>
        <w:t xml:space="preserve"> </w:t>
      </w:r>
      <w:r w:rsidR="00FA42D6">
        <w:rPr>
          <w:rFonts w:asciiTheme="majorHAnsi" w:hAnsiTheme="majorHAnsi"/>
          <w:sz w:val="22"/>
          <w:szCs w:val="22"/>
        </w:rPr>
        <w:t>regulations should be streamlined and reformed</w:t>
      </w:r>
      <w:r w:rsidR="006D37B0" w:rsidRPr="00D25CC0">
        <w:rPr>
          <w:rFonts w:asciiTheme="majorHAnsi" w:hAnsiTheme="majorHAnsi"/>
          <w:sz w:val="22"/>
          <w:szCs w:val="22"/>
        </w:rPr>
        <w:t>.</w:t>
      </w:r>
      <w:r w:rsidR="00F61B27" w:rsidRPr="00D25CC0">
        <w:rPr>
          <w:rFonts w:asciiTheme="majorHAnsi" w:hAnsiTheme="majorHAnsi"/>
          <w:sz w:val="22"/>
          <w:szCs w:val="22"/>
        </w:rPr>
        <w:t xml:space="preserve"> </w:t>
      </w:r>
      <w:bookmarkEnd w:id="2"/>
      <w:r w:rsidR="00383D74" w:rsidRPr="00D25CC0">
        <w:rPr>
          <w:rFonts w:asciiTheme="majorHAnsi" w:hAnsiTheme="majorHAnsi"/>
          <w:sz w:val="22"/>
          <w:szCs w:val="22"/>
        </w:rPr>
        <w:t xml:space="preserve">Capacity can </w:t>
      </w:r>
      <w:r w:rsidR="008E1E5A">
        <w:rPr>
          <w:rFonts w:asciiTheme="majorHAnsi" w:hAnsiTheme="majorHAnsi"/>
          <w:sz w:val="22"/>
          <w:szCs w:val="22"/>
        </w:rPr>
        <w:t xml:space="preserve">also </w:t>
      </w:r>
      <w:r w:rsidR="00383D74" w:rsidRPr="00D25CC0">
        <w:rPr>
          <w:rFonts w:asciiTheme="majorHAnsi" w:hAnsiTheme="majorHAnsi"/>
          <w:sz w:val="22"/>
          <w:szCs w:val="22"/>
        </w:rPr>
        <w:t>be improved through efficiency gains</w:t>
      </w:r>
      <w:r w:rsidR="00694418" w:rsidRPr="00D25CC0">
        <w:rPr>
          <w:rFonts w:asciiTheme="majorHAnsi" w:hAnsiTheme="majorHAnsi"/>
          <w:sz w:val="22"/>
          <w:szCs w:val="22"/>
        </w:rPr>
        <w:t>. For example, t</w:t>
      </w:r>
      <w:r w:rsidR="00994A47" w:rsidRPr="00D25CC0">
        <w:rPr>
          <w:rFonts w:asciiTheme="majorHAnsi" w:hAnsiTheme="majorHAnsi"/>
          <w:sz w:val="22"/>
          <w:szCs w:val="22"/>
        </w:rPr>
        <w:t xml:space="preserve">he current Gross Vehicle Weight (GVW) limit for </w:t>
      </w:r>
      <w:r w:rsidR="00AB1E8F" w:rsidRPr="00D25CC0">
        <w:rPr>
          <w:rFonts w:asciiTheme="majorHAnsi" w:hAnsiTheme="majorHAnsi"/>
          <w:sz w:val="22"/>
          <w:szCs w:val="22"/>
        </w:rPr>
        <w:t>F</w:t>
      </w:r>
      <w:r w:rsidR="00994A47" w:rsidRPr="00D25CC0">
        <w:rPr>
          <w:rFonts w:asciiTheme="majorHAnsi" w:hAnsiTheme="majorHAnsi"/>
          <w:sz w:val="22"/>
          <w:szCs w:val="22"/>
        </w:rPr>
        <w:t xml:space="preserve">ederal Interstate Highways of 80,000 lbs. on 5 axles was established in 1982, prior to the standardization of anti-lock brakes and </w:t>
      </w:r>
      <w:r w:rsidR="00694418" w:rsidRPr="00D25CC0">
        <w:rPr>
          <w:rFonts w:asciiTheme="majorHAnsi" w:hAnsiTheme="majorHAnsi"/>
          <w:sz w:val="22"/>
          <w:szCs w:val="22"/>
        </w:rPr>
        <w:t xml:space="preserve">other roadway </w:t>
      </w:r>
      <w:r w:rsidR="00994A47" w:rsidRPr="00D25CC0">
        <w:rPr>
          <w:rFonts w:asciiTheme="majorHAnsi" w:hAnsiTheme="majorHAnsi"/>
          <w:sz w:val="22"/>
          <w:szCs w:val="22"/>
        </w:rPr>
        <w:t xml:space="preserve">safety </w:t>
      </w:r>
      <w:r w:rsidR="00694418" w:rsidRPr="00D25CC0">
        <w:rPr>
          <w:rFonts w:asciiTheme="majorHAnsi" w:hAnsiTheme="majorHAnsi"/>
          <w:sz w:val="22"/>
          <w:szCs w:val="22"/>
        </w:rPr>
        <w:t>improvements</w:t>
      </w:r>
      <w:r w:rsidR="00994A47" w:rsidRPr="00D25CC0">
        <w:rPr>
          <w:rFonts w:asciiTheme="majorHAnsi" w:hAnsiTheme="majorHAnsi"/>
          <w:sz w:val="22"/>
          <w:szCs w:val="22"/>
        </w:rPr>
        <w:t xml:space="preserve">. Outdated weight restrictions make U.S. farmers and businesses less competitive and requires MORE trucks to travel on roadways to haul the same amount of goods, making matters worse for infrastructure wear-and-tear and </w:t>
      </w:r>
      <w:r w:rsidR="00694418" w:rsidRPr="00D25CC0">
        <w:rPr>
          <w:rFonts w:asciiTheme="majorHAnsi" w:hAnsiTheme="majorHAnsi"/>
          <w:sz w:val="22"/>
          <w:szCs w:val="22"/>
        </w:rPr>
        <w:t>trucking capacity (</w:t>
      </w:r>
      <w:r w:rsidR="00994A47" w:rsidRPr="00D25CC0">
        <w:rPr>
          <w:rFonts w:asciiTheme="majorHAnsi" w:hAnsiTheme="majorHAnsi"/>
          <w:sz w:val="22"/>
          <w:szCs w:val="22"/>
        </w:rPr>
        <w:t>driver shortage</w:t>
      </w:r>
      <w:r w:rsidR="00694418" w:rsidRPr="00D25CC0">
        <w:rPr>
          <w:rFonts w:asciiTheme="majorHAnsi" w:hAnsiTheme="majorHAnsi"/>
          <w:sz w:val="22"/>
          <w:szCs w:val="22"/>
        </w:rPr>
        <w:t>)</w:t>
      </w:r>
      <w:r w:rsidR="00994A47" w:rsidRPr="00D25CC0">
        <w:rPr>
          <w:rFonts w:asciiTheme="majorHAnsi" w:hAnsiTheme="majorHAnsi"/>
          <w:sz w:val="22"/>
          <w:szCs w:val="22"/>
        </w:rPr>
        <w:t>.</w:t>
      </w:r>
    </w:p>
    <w:p w14:paraId="73EA4D91" w14:textId="77777777" w:rsidR="00643942" w:rsidRPr="00D25CC0" w:rsidRDefault="00643942" w:rsidP="00CF7B56">
      <w:pPr>
        <w:outlineLvl w:val="1"/>
        <w:rPr>
          <w:rFonts w:asciiTheme="majorHAnsi" w:hAnsiTheme="majorHAnsi"/>
          <w:b/>
          <w:color w:val="ED7D31" w:themeColor="accent2"/>
          <w:sz w:val="22"/>
          <w:szCs w:val="22"/>
        </w:rPr>
      </w:pPr>
    </w:p>
    <w:p w14:paraId="6EEA713A" w14:textId="11D76A27" w:rsidR="00434AF7" w:rsidRPr="00D25CC0" w:rsidRDefault="00434AF7" w:rsidP="00CF7B56">
      <w:pPr>
        <w:outlineLvl w:val="1"/>
        <w:rPr>
          <w:rFonts w:asciiTheme="majorHAnsi" w:hAnsiTheme="majorHAnsi"/>
          <w:sz w:val="22"/>
          <w:szCs w:val="22"/>
        </w:rPr>
      </w:pPr>
      <w:r w:rsidRPr="00D25CC0">
        <w:rPr>
          <w:rFonts w:asciiTheme="majorHAnsi" w:hAnsiTheme="majorHAnsi"/>
          <w:b/>
          <w:color w:val="ED7D31" w:themeColor="accent2"/>
          <w:sz w:val="22"/>
          <w:szCs w:val="22"/>
        </w:rPr>
        <w:t>Waterways:</w:t>
      </w:r>
      <w:r w:rsidRPr="00D25CC0">
        <w:rPr>
          <w:rFonts w:asciiTheme="majorHAnsi" w:hAnsiTheme="majorHAnsi"/>
          <w:color w:val="ED7D31" w:themeColor="accent2"/>
          <w:sz w:val="22"/>
          <w:szCs w:val="22"/>
        </w:rPr>
        <w:t xml:space="preserve">  </w:t>
      </w:r>
      <w:r w:rsidR="005569CD">
        <w:rPr>
          <w:rFonts w:asciiTheme="majorHAnsi" w:hAnsiTheme="majorHAnsi"/>
          <w:sz w:val="22"/>
          <w:szCs w:val="22"/>
        </w:rPr>
        <w:t>One-fifth of fertilizer movements rely on inland navigation while e</w:t>
      </w:r>
      <w:r w:rsidRPr="00D25CC0">
        <w:rPr>
          <w:rFonts w:asciiTheme="majorHAnsi" w:hAnsiTheme="majorHAnsi"/>
          <w:sz w:val="22"/>
          <w:szCs w:val="22"/>
        </w:rPr>
        <w:t xml:space="preserve">xports of agricultural goods comprise 20 percent of farm income and support more than 1 million jobs. </w:t>
      </w:r>
      <w:r w:rsidR="00AB1E8F" w:rsidRPr="00D25CC0">
        <w:rPr>
          <w:rFonts w:asciiTheme="majorHAnsi" w:hAnsiTheme="majorHAnsi"/>
          <w:sz w:val="22"/>
          <w:szCs w:val="22"/>
        </w:rPr>
        <w:t>O</w:t>
      </w:r>
      <w:r w:rsidRPr="00D25CC0">
        <w:rPr>
          <w:rFonts w:asciiTheme="majorHAnsi" w:hAnsiTheme="majorHAnsi"/>
          <w:sz w:val="22"/>
          <w:szCs w:val="22"/>
        </w:rPr>
        <w:t>ur nation’s locks and dams are in urgent need of maintenance and modernization. Most locks and dams were built in the 1920s and 1930s and have far exceeded their 50-year design lifespan. In the past decade, there has been a 700 percent increase in unscheduled stoppages for repairs.</w:t>
      </w:r>
      <w:bookmarkEnd w:id="1"/>
    </w:p>
    <w:p w14:paraId="05E71E78" w14:textId="0E88912D" w:rsidR="00643942" w:rsidRPr="00D25CC0" w:rsidRDefault="00643942" w:rsidP="00CF7B56">
      <w:pPr>
        <w:outlineLvl w:val="1"/>
        <w:rPr>
          <w:rFonts w:asciiTheme="majorHAnsi" w:hAnsiTheme="majorHAnsi"/>
          <w:sz w:val="22"/>
          <w:szCs w:val="22"/>
        </w:rPr>
      </w:pPr>
    </w:p>
    <w:p w14:paraId="159A762F" w14:textId="45720DA0" w:rsidR="00387ED1" w:rsidRPr="00D25CC0" w:rsidRDefault="00643942" w:rsidP="00CF7B56">
      <w:pPr>
        <w:outlineLvl w:val="1"/>
        <w:rPr>
          <w:rFonts w:asciiTheme="majorHAnsi" w:hAnsiTheme="majorHAnsi"/>
          <w:sz w:val="22"/>
          <w:szCs w:val="22"/>
        </w:rPr>
      </w:pPr>
      <w:bookmarkStart w:id="3" w:name="_Hlk5348314"/>
      <w:r w:rsidRPr="00D25CC0">
        <w:rPr>
          <w:rFonts w:asciiTheme="majorHAnsi" w:hAnsiTheme="majorHAnsi"/>
          <w:b/>
          <w:color w:val="ED7D31" w:themeColor="accent2"/>
          <w:sz w:val="22"/>
          <w:szCs w:val="22"/>
        </w:rPr>
        <w:t>Pipelines:</w:t>
      </w:r>
      <w:r w:rsidRPr="00D25CC0">
        <w:rPr>
          <w:rFonts w:asciiTheme="majorHAnsi" w:hAnsiTheme="majorHAnsi"/>
          <w:color w:val="ED7D31" w:themeColor="accent2"/>
          <w:sz w:val="22"/>
          <w:szCs w:val="22"/>
        </w:rPr>
        <w:t xml:space="preserve">  </w:t>
      </w:r>
      <w:r w:rsidR="00AD6ED8" w:rsidRPr="00D25CC0">
        <w:rPr>
          <w:rFonts w:asciiTheme="majorHAnsi" w:hAnsiTheme="majorHAnsi"/>
          <w:sz w:val="22"/>
          <w:szCs w:val="22"/>
        </w:rPr>
        <w:t xml:space="preserve">The U.S. pipeline system in the United States is critical to fertilizer manufacturers. </w:t>
      </w:r>
      <w:r w:rsidR="00387ED1" w:rsidRPr="00D25CC0">
        <w:rPr>
          <w:rFonts w:asciiTheme="majorHAnsi" w:hAnsiTheme="majorHAnsi"/>
          <w:sz w:val="22"/>
          <w:szCs w:val="22"/>
        </w:rPr>
        <w:t xml:space="preserve">Currently there are </w:t>
      </w:r>
      <w:r w:rsidR="00FF17A7">
        <w:rPr>
          <w:rFonts w:asciiTheme="majorHAnsi" w:hAnsiTheme="majorHAnsi"/>
          <w:sz w:val="22"/>
          <w:szCs w:val="22"/>
        </w:rPr>
        <w:t>two</w:t>
      </w:r>
      <w:r w:rsidR="00387ED1" w:rsidRPr="00D25CC0">
        <w:rPr>
          <w:rFonts w:asciiTheme="majorHAnsi" w:hAnsiTheme="majorHAnsi"/>
          <w:sz w:val="22"/>
          <w:szCs w:val="22"/>
        </w:rPr>
        <w:t xml:space="preserve"> ammonia pipelines in the United States. </w:t>
      </w:r>
      <w:r w:rsidR="003F5DFA" w:rsidRPr="00D25CC0">
        <w:rPr>
          <w:rFonts w:asciiTheme="majorHAnsi" w:hAnsiTheme="majorHAnsi"/>
          <w:sz w:val="22"/>
          <w:szCs w:val="22"/>
        </w:rPr>
        <w:t>Manufacturers</w:t>
      </w:r>
      <w:r w:rsidRPr="00D25CC0">
        <w:rPr>
          <w:rFonts w:asciiTheme="majorHAnsi" w:hAnsiTheme="majorHAnsi"/>
          <w:sz w:val="22"/>
          <w:szCs w:val="22"/>
        </w:rPr>
        <w:t xml:space="preserve"> utilize pipelines to transport </w:t>
      </w:r>
      <w:r w:rsidR="00AD6ED8" w:rsidRPr="00D25CC0">
        <w:rPr>
          <w:rFonts w:asciiTheme="majorHAnsi" w:hAnsiTheme="majorHAnsi"/>
          <w:sz w:val="22"/>
          <w:szCs w:val="22"/>
        </w:rPr>
        <w:t xml:space="preserve">anhydrous </w:t>
      </w:r>
      <w:r w:rsidR="003F5DFA" w:rsidRPr="00D25CC0">
        <w:rPr>
          <w:rFonts w:asciiTheme="majorHAnsi" w:hAnsiTheme="majorHAnsi"/>
          <w:sz w:val="22"/>
          <w:szCs w:val="22"/>
        </w:rPr>
        <w:t>ammonia</w:t>
      </w:r>
      <w:r w:rsidRPr="00D25CC0">
        <w:rPr>
          <w:rFonts w:asciiTheme="majorHAnsi" w:hAnsiTheme="majorHAnsi"/>
          <w:sz w:val="22"/>
          <w:szCs w:val="22"/>
        </w:rPr>
        <w:t xml:space="preserve"> from production facilities</w:t>
      </w:r>
      <w:r w:rsidR="00387ED1" w:rsidRPr="00D25CC0">
        <w:rPr>
          <w:rFonts w:asciiTheme="majorHAnsi" w:hAnsiTheme="majorHAnsi"/>
          <w:sz w:val="22"/>
          <w:szCs w:val="22"/>
        </w:rPr>
        <w:t xml:space="preserve"> to high-utilization </w:t>
      </w:r>
      <w:r w:rsidR="00AD6ED8" w:rsidRPr="00D25CC0">
        <w:rPr>
          <w:rFonts w:asciiTheme="majorHAnsi" w:hAnsiTheme="majorHAnsi"/>
          <w:sz w:val="22"/>
          <w:szCs w:val="22"/>
        </w:rPr>
        <w:t>regions in t</w:t>
      </w:r>
      <w:r w:rsidR="00387ED1" w:rsidRPr="00D25CC0">
        <w:rPr>
          <w:rFonts w:asciiTheme="majorHAnsi" w:hAnsiTheme="majorHAnsi"/>
          <w:sz w:val="22"/>
          <w:szCs w:val="22"/>
        </w:rPr>
        <w:t>he corn belt</w:t>
      </w:r>
      <w:r w:rsidR="006D37B0" w:rsidRPr="00D25CC0">
        <w:rPr>
          <w:rFonts w:asciiTheme="majorHAnsi" w:hAnsiTheme="majorHAnsi"/>
          <w:sz w:val="22"/>
          <w:szCs w:val="22"/>
        </w:rPr>
        <w:t xml:space="preserve"> and </w:t>
      </w:r>
      <w:r w:rsidR="00235D37" w:rsidRPr="00D25CC0">
        <w:rPr>
          <w:rFonts w:asciiTheme="majorHAnsi" w:hAnsiTheme="majorHAnsi"/>
          <w:sz w:val="22"/>
          <w:szCs w:val="22"/>
        </w:rPr>
        <w:t>from the Port of Tampa to</w:t>
      </w:r>
      <w:r w:rsidR="006D37B0" w:rsidRPr="00D25CC0">
        <w:rPr>
          <w:rFonts w:asciiTheme="majorHAnsi" w:hAnsiTheme="majorHAnsi"/>
          <w:sz w:val="22"/>
          <w:szCs w:val="22"/>
        </w:rPr>
        <w:t xml:space="preserve"> phosphate production</w:t>
      </w:r>
      <w:r w:rsidR="00235D37" w:rsidRPr="00D25CC0">
        <w:rPr>
          <w:rFonts w:asciiTheme="majorHAnsi" w:hAnsiTheme="majorHAnsi"/>
          <w:sz w:val="22"/>
          <w:szCs w:val="22"/>
        </w:rPr>
        <w:t xml:space="preserve"> facilities</w:t>
      </w:r>
      <w:r w:rsidR="006D37B0" w:rsidRPr="00D25CC0">
        <w:rPr>
          <w:rFonts w:asciiTheme="majorHAnsi" w:hAnsiTheme="majorHAnsi"/>
          <w:sz w:val="22"/>
          <w:szCs w:val="22"/>
        </w:rPr>
        <w:t xml:space="preserve"> in Florida</w:t>
      </w:r>
      <w:r w:rsidRPr="00D25CC0">
        <w:rPr>
          <w:rFonts w:asciiTheme="majorHAnsi" w:hAnsiTheme="majorHAnsi"/>
          <w:sz w:val="22"/>
          <w:szCs w:val="22"/>
        </w:rPr>
        <w:t xml:space="preserve">. </w:t>
      </w:r>
      <w:r w:rsidR="00387ED1" w:rsidRPr="00D25CC0">
        <w:rPr>
          <w:rFonts w:asciiTheme="majorHAnsi" w:hAnsiTheme="majorHAnsi"/>
          <w:sz w:val="22"/>
          <w:szCs w:val="22"/>
        </w:rPr>
        <w:t xml:space="preserve">Ammonia production facilities also utilize substantial volumes of industrial natural gas for power and as a feedstock for ammonia production. </w:t>
      </w:r>
      <w:bookmarkEnd w:id="3"/>
      <w:r w:rsidR="00377512" w:rsidRPr="00D25CC0">
        <w:rPr>
          <w:rFonts w:asciiTheme="majorHAnsi" w:hAnsiTheme="majorHAnsi"/>
          <w:sz w:val="22"/>
          <w:szCs w:val="22"/>
        </w:rPr>
        <w:t xml:space="preserve">In 2018, U.S. nitrogen producers used an estimated 600 </w:t>
      </w:r>
      <w:r w:rsidR="00131B5A" w:rsidRPr="00D25CC0">
        <w:rPr>
          <w:rFonts w:asciiTheme="majorHAnsi" w:hAnsiTheme="majorHAnsi"/>
          <w:sz w:val="22"/>
          <w:szCs w:val="22"/>
        </w:rPr>
        <w:t>b</w:t>
      </w:r>
      <w:r w:rsidR="00377512" w:rsidRPr="00D25CC0">
        <w:rPr>
          <w:rFonts w:asciiTheme="majorHAnsi" w:hAnsiTheme="majorHAnsi"/>
          <w:sz w:val="22"/>
          <w:szCs w:val="22"/>
        </w:rPr>
        <w:t>illion cu</w:t>
      </w:r>
      <w:r w:rsidR="00131B5A" w:rsidRPr="00D25CC0">
        <w:rPr>
          <w:rFonts w:asciiTheme="majorHAnsi" w:hAnsiTheme="majorHAnsi"/>
          <w:sz w:val="22"/>
          <w:szCs w:val="22"/>
        </w:rPr>
        <w:t>bic</w:t>
      </w:r>
      <w:r w:rsidR="00377512" w:rsidRPr="00D25CC0">
        <w:rPr>
          <w:rFonts w:asciiTheme="majorHAnsi" w:hAnsiTheme="majorHAnsi"/>
          <w:sz w:val="22"/>
          <w:szCs w:val="22"/>
        </w:rPr>
        <w:t xml:space="preserve"> feet of natural gas. That accounts for 2</w:t>
      </w:r>
      <w:r w:rsidR="00131B5A" w:rsidRPr="00D25CC0">
        <w:rPr>
          <w:rFonts w:asciiTheme="majorHAnsi" w:hAnsiTheme="majorHAnsi"/>
          <w:sz w:val="22"/>
          <w:szCs w:val="22"/>
        </w:rPr>
        <w:t xml:space="preserve"> percent</w:t>
      </w:r>
      <w:r w:rsidR="00377512" w:rsidRPr="00D25CC0">
        <w:rPr>
          <w:rFonts w:asciiTheme="majorHAnsi" w:hAnsiTheme="majorHAnsi"/>
          <w:sz w:val="22"/>
          <w:szCs w:val="22"/>
        </w:rPr>
        <w:t xml:space="preserve"> of total U.S. natural gas consumption and 7 percent of industrial use.</w:t>
      </w:r>
    </w:p>
    <w:sectPr w:rsidR="00387ED1" w:rsidRPr="00D25CC0" w:rsidSect="00BD1A85">
      <w:headerReference w:type="default" r:id="rId11"/>
      <w:footerReference w:type="default" r:id="rId12"/>
      <w:headerReference w:type="first" r:id="rId13"/>
      <w:footerReference w:type="first" r:id="rId14"/>
      <w:pgSz w:w="12240" w:h="15840" w:code="1"/>
      <w:pgMar w:top="2520" w:right="1440" w:bottom="900" w:left="1440" w:header="720" w:footer="175" w:gutter="0"/>
      <w:pgNumType w:start="1"/>
      <w:cols w:space="720"/>
      <w:noEndnote/>
      <w:titlePg/>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D58B8" w14:textId="77777777" w:rsidR="00167615" w:rsidRDefault="00167615">
      <w:r>
        <w:separator/>
      </w:r>
    </w:p>
  </w:endnote>
  <w:endnote w:type="continuationSeparator" w:id="0">
    <w:p w14:paraId="3C96E1D5" w14:textId="77777777" w:rsidR="00167615" w:rsidRDefault="00167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8D39" w14:textId="2619F452" w:rsidR="00477B67" w:rsidRPr="00D96B3A" w:rsidRDefault="00C25233" w:rsidP="00A057C2">
    <w:pPr>
      <w:widowControl/>
      <w:ind w:left="5040" w:firstLine="720"/>
      <w:rPr>
        <w:color w:val="323774"/>
        <w:sz w:val="16"/>
        <w:szCs w:val="16"/>
      </w:rPr>
    </w:pPr>
    <w:r>
      <w:rPr>
        <w:color w:val="323774"/>
        <w:sz w:val="16"/>
        <w:szCs w:val="16"/>
      </w:rPr>
      <w:t>4201 Wilson Blvd., Ste. 700</w:t>
    </w:r>
    <w:r>
      <w:rPr>
        <w:color w:val="323774"/>
        <w:sz w:val="16"/>
        <w:szCs w:val="16"/>
      </w:rPr>
      <w:tab/>
    </w:r>
    <w:r w:rsidR="00A6417A" w:rsidRPr="00D96B3A">
      <w:rPr>
        <w:bCs/>
        <w:color w:val="323774"/>
        <w:sz w:val="16"/>
        <w:szCs w:val="16"/>
      </w:rPr>
      <w:t>202.962.0490</w:t>
    </w:r>
    <w:r w:rsidR="00477B67" w:rsidRPr="00D96B3A">
      <w:rPr>
        <w:color w:val="323774"/>
        <w:sz w:val="16"/>
        <w:szCs w:val="16"/>
      </w:rPr>
      <w:tab/>
      <w:t xml:space="preserve"> </w:t>
    </w:r>
  </w:p>
  <w:p w14:paraId="63FDA7BC" w14:textId="4CBEC5E7" w:rsidR="00477B67" w:rsidRPr="00264C08" w:rsidRDefault="00C25233" w:rsidP="00A057C2">
    <w:pPr>
      <w:widowControl/>
      <w:ind w:left="5040" w:firstLine="720"/>
      <w:rPr>
        <w:bCs/>
        <w:color w:val="323774"/>
        <w:sz w:val="16"/>
        <w:szCs w:val="16"/>
      </w:rPr>
    </w:pPr>
    <w:r>
      <w:rPr>
        <w:color w:val="323774"/>
        <w:sz w:val="16"/>
        <w:szCs w:val="16"/>
      </w:rPr>
      <w:t>Arlington, VA 22203</w:t>
    </w:r>
    <w:r w:rsidR="00477B67" w:rsidRPr="00D96B3A">
      <w:rPr>
        <w:color w:val="323774"/>
        <w:sz w:val="16"/>
        <w:szCs w:val="16"/>
      </w:rPr>
      <w:t xml:space="preserve"> </w:t>
    </w:r>
    <w:r w:rsidR="00477B67" w:rsidRPr="00D96B3A">
      <w:rPr>
        <w:color w:val="323774"/>
        <w:sz w:val="16"/>
        <w:szCs w:val="16"/>
      </w:rPr>
      <w:tab/>
    </w:r>
    <w:r w:rsidR="00477B67" w:rsidRPr="00D96B3A">
      <w:rPr>
        <w:color w:val="323774"/>
        <w:sz w:val="16"/>
        <w:szCs w:val="16"/>
      </w:rPr>
      <w:tab/>
    </w:r>
    <w:r w:rsidR="00477B67" w:rsidRPr="00D96B3A">
      <w:rPr>
        <w:bCs/>
        <w:color w:val="323774"/>
        <w:sz w:val="16"/>
        <w:szCs w:val="16"/>
      </w:rPr>
      <w:t>www.tfi.org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EC4D8" w14:textId="77777777" w:rsidR="0028620A" w:rsidRDefault="0028620A" w:rsidP="00293DB1">
    <w:pPr>
      <w:widowControl/>
      <w:ind w:left="5040" w:firstLine="720"/>
      <w:rPr>
        <w:color w:val="323774"/>
        <w:sz w:val="16"/>
        <w:szCs w:val="16"/>
      </w:rPr>
    </w:pPr>
  </w:p>
  <w:p w14:paraId="5B0EEAC6" w14:textId="12F35DB6" w:rsidR="00293DB1" w:rsidRPr="00293DB1" w:rsidRDefault="00293DB1" w:rsidP="00293DB1">
    <w:pPr>
      <w:widowControl/>
      <w:ind w:left="5040" w:firstLine="720"/>
      <w:rPr>
        <w:color w:val="323774"/>
        <w:sz w:val="16"/>
        <w:szCs w:val="16"/>
      </w:rPr>
    </w:pPr>
    <w:r w:rsidRPr="00293DB1">
      <w:rPr>
        <w:color w:val="323774"/>
        <w:sz w:val="16"/>
        <w:szCs w:val="16"/>
      </w:rPr>
      <w:t>4201 Wilson Blvd., Ste. 700</w:t>
    </w:r>
    <w:r w:rsidRPr="00293DB1">
      <w:rPr>
        <w:color w:val="323774"/>
        <w:sz w:val="16"/>
        <w:szCs w:val="16"/>
      </w:rPr>
      <w:tab/>
    </w:r>
    <w:r w:rsidRPr="00293DB1">
      <w:rPr>
        <w:bCs/>
        <w:color w:val="323774"/>
        <w:sz w:val="16"/>
        <w:szCs w:val="16"/>
      </w:rPr>
      <w:t>202.962.0490</w:t>
    </w:r>
    <w:r w:rsidRPr="00293DB1">
      <w:rPr>
        <w:color w:val="323774"/>
        <w:sz w:val="16"/>
        <w:szCs w:val="16"/>
      </w:rPr>
      <w:tab/>
      <w:t xml:space="preserve"> </w:t>
    </w:r>
  </w:p>
  <w:p w14:paraId="66518212" w14:textId="77777777" w:rsidR="00293DB1" w:rsidRPr="00293DB1" w:rsidRDefault="00293DB1" w:rsidP="00293DB1">
    <w:pPr>
      <w:widowControl/>
      <w:ind w:left="5040" w:firstLine="720"/>
      <w:rPr>
        <w:bCs/>
        <w:color w:val="323774"/>
        <w:sz w:val="16"/>
        <w:szCs w:val="16"/>
      </w:rPr>
    </w:pPr>
    <w:r w:rsidRPr="00293DB1">
      <w:rPr>
        <w:color w:val="323774"/>
        <w:sz w:val="16"/>
        <w:szCs w:val="16"/>
      </w:rPr>
      <w:t xml:space="preserve">Arlington, VA 22203 </w:t>
    </w:r>
    <w:r w:rsidRPr="00293DB1">
      <w:rPr>
        <w:color w:val="323774"/>
        <w:sz w:val="16"/>
        <w:szCs w:val="16"/>
      </w:rPr>
      <w:tab/>
    </w:r>
    <w:r w:rsidRPr="00293DB1">
      <w:rPr>
        <w:color w:val="323774"/>
        <w:sz w:val="16"/>
        <w:szCs w:val="16"/>
      </w:rPr>
      <w:tab/>
    </w:r>
    <w:r w:rsidRPr="00293DB1">
      <w:rPr>
        <w:bCs/>
        <w:color w:val="323774"/>
        <w:sz w:val="16"/>
        <w:szCs w:val="16"/>
      </w:rPr>
      <w:t>www.tfi.org</w:t>
    </w:r>
  </w:p>
  <w:p w14:paraId="4C5B3FEC" w14:textId="720F9689" w:rsidR="00B005BC" w:rsidRPr="00293DB1" w:rsidRDefault="00B005BC" w:rsidP="00293DB1">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9119F" w14:textId="77777777" w:rsidR="00167615" w:rsidRDefault="00167615">
      <w:r>
        <w:separator/>
      </w:r>
    </w:p>
  </w:footnote>
  <w:footnote w:type="continuationSeparator" w:id="0">
    <w:p w14:paraId="68B31271" w14:textId="77777777" w:rsidR="00167615" w:rsidRDefault="00167615">
      <w:r>
        <w:continuationSeparator/>
      </w:r>
    </w:p>
  </w:footnote>
  <w:footnote w:id="1">
    <w:p w14:paraId="24DCFDB4" w14:textId="356AD6A1" w:rsidR="00076674" w:rsidRPr="009563BB" w:rsidRDefault="00076674">
      <w:pPr>
        <w:pStyle w:val="FootnoteText"/>
        <w:rPr>
          <w:rFonts w:asciiTheme="majorHAnsi" w:hAnsiTheme="majorHAnsi" w:cstheme="majorHAnsi"/>
          <w:sz w:val="18"/>
          <w:szCs w:val="18"/>
        </w:rPr>
      </w:pPr>
      <w:r w:rsidRPr="009563BB">
        <w:rPr>
          <w:rStyle w:val="FootnoteReference"/>
          <w:rFonts w:asciiTheme="majorHAnsi" w:hAnsiTheme="majorHAnsi" w:cstheme="majorHAnsi"/>
          <w:sz w:val="18"/>
          <w:szCs w:val="18"/>
        </w:rPr>
        <w:footnoteRef/>
      </w:r>
      <w:r w:rsidRPr="009563BB">
        <w:rPr>
          <w:rFonts w:asciiTheme="majorHAnsi" w:hAnsiTheme="majorHAnsi" w:cstheme="majorHAnsi"/>
          <w:sz w:val="18"/>
          <w:szCs w:val="18"/>
        </w:rPr>
        <w:t xml:space="preserve"> Only finished ammonia moves by pipeline; unfinished slurry phosphate rock not included</w:t>
      </w:r>
    </w:p>
  </w:footnote>
  <w:footnote w:id="2">
    <w:p w14:paraId="07A69273" w14:textId="064B3854" w:rsidR="009563BB" w:rsidRPr="009563BB" w:rsidRDefault="009563BB">
      <w:pPr>
        <w:pStyle w:val="FootnoteText"/>
        <w:rPr>
          <w:rFonts w:asciiTheme="majorHAnsi" w:hAnsiTheme="majorHAnsi" w:cstheme="majorHAnsi"/>
          <w:sz w:val="18"/>
          <w:szCs w:val="18"/>
        </w:rPr>
      </w:pPr>
      <w:r w:rsidRPr="009563BB">
        <w:rPr>
          <w:rStyle w:val="FootnoteReference"/>
          <w:rFonts w:asciiTheme="majorHAnsi" w:hAnsiTheme="majorHAnsi" w:cstheme="majorHAnsi"/>
          <w:sz w:val="18"/>
          <w:szCs w:val="18"/>
        </w:rPr>
        <w:footnoteRef/>
      </w:r>
      <w:r w:rsidRPr="009563BB">
        <w:rPr>
          <w:rFonts w:asciiTheme="majorHAnsi" w:hAnsiTheme="majorHAnsi" w:cstheme="majorHAnsi"/>
          <w:sz w:val="18"/>
          <w:szCs w:val="18"/>
        </w:rPr>
        <w:t xml:space="preserve"> </w:t>
      </w:r>
      <w:r w:rsidR="00307646">
        <w:rPr>
          <w:rFonts w:asciiTheme="majorHAnsi" w:hAnsiTheme="majorHAnsi" w:cstheme="majorHAnsi"/>
          <w:sz w:val="18"/>
          <w:szCs w:val="18"/>
        </w:rPr>
        <w:t>Total tonnage from 2012-2017 for ammonia</w:t>
      </w:r>
      <w:r w:rsidR="00A240C7">
        <w:rPr>
          <w:rFonts w:asciiTheme="majorHAnsi" w:hAnsiTheme="majorHAnsi" w:cstheme="majorHAnsi"/>
          <w:sz w:val="18"/>
          <w:szCs w:val="18"/>
        </w:rPr>
        <w:t xml:space="preserve"> </w:t>
      </w:r>
      <w:r w:rsidR="00307646">
        <w:rPr>
          <w:rFonts w:asciiTheme="majorHAnsi" w:hAnsiTheme="majorHAnsi" w:cstheme="majorHAnsi"/>
          <w:sz w:val="18"/>
          <w:szCs w:val="18"/>
        </w:rPr>
        <w:t xml:space="preserve">shows </w:t>
      </w:r>
      <w:r w:rsidR="00A240C7">
        <w:rPr>
          <w:rFonts w:asciiTheme="majorHAnsi" w:hAnsiTheme="majorHAnsi" w:cstheme="majorHAnsi"/>
          <w:sz w:val="18"/>
          <w:szCs w:val="18"/>
        </w:rPr>
        <w:t xml:space="preserve">a </w:t>
      </w:r>
      <w:r w:rsidRPr="009563BB">
        <w:rPr>
          <w:rFonts w:asciiTheme="majorHAnsi" w:hAnsiTheme="majorHAnsi" w:cstheme="majorHAnsi"/>
          <w:iCs/>
          <w:sz w:val="18"/>
          <w:szCs w:val="18"/>
        </w:rPr>
        <w:t>decrease</w:t>
      </w:r>
      <w:r w:rsidR="00A240C7">
        <w:rPr>
          <w:rFonts w:asciiTheme="majorHAnsi" w:hAnsiTheme="majorHAnsi" w:cstheme="majorHAnsi"/>
          <w:iCs/>
          <w:sz w:val="18"/>
          <w:szCs w:val="18"/>
        </w:rPr>
        <w:t xml:space="preserve"> of</w:t>
      </w:r>
      <w:r w:rsidRPr="009563BB">
        <w:rPr>
          <w:rFonts w:asciiTheme="majorHAnsi" w:hAnsiTheme="majorHAnsi" w:cstheme="majorHAnsi"/>
          <w:iCs/>
          <w:sz w:val="18"/>
          <w:szCs w:val="18"/>
        </w:rPr>
        <w:t xml:space="preserve"> 3% </w:t>
      </w:r>
      <w:r w:rsidR="00B273E1">
        <w:rPr>
          <w:rFonts w:asciiTheme="majorHAnsi" w:hAnsiTheme="majorHAnsi" w:cstheme="majorHAnsi"/>
          <w:iCs/>
          <w:sz w:val="18"/>
          <w:szCs w:val="18"/>
        </w:rPr>
        <w:t xml:space="preserve">modal share for rail and </w:t>
      </w:r>
      <w:r w:rsidRPr="009563BB">
        <w:rPr>
          <w:rFonts w:asciiTheme="majorHAnsi" w:hAnsiTheme="majorHAnsi" w:cstheme="majorHAnsi"/>
          <w:iCs/>
          <w:sz w:val="18"/>
          <w:szCs w:val="18"/>
        </w:rPr>
        <w:t>3%</w:t>
      </w:r>
      <w:r w:rsidR="00B273E1">
        <w:rPr>
          <w:rFonts w:asciiTheme="majorHAnsi" w:hAnsiTheme="majorHAnsi" w:cstheme="majorHAnsi"/>
          <w:iCs/>
          <w:sz w:val="18"/>
          <w:szCs w:val="18"/>
        </w:rPr>
        <w:t xml:space="preserve"> increase in </w:t>
      </w:r>
      <w:r w:rsidR="00130336">
        <w:rPr>
          <w:rFonts w:asciiTheme="majorHAnsi" w:hAnsiTheme="majorHAnsi" w:cstheme="majorHAnsi"/>
          <w:iCs/>
          <w:sz w:val="18"/>
          <w:szCs w:val="18"/>
        </w:rPr>
        <w:t xml:space="preserve">the </w:t>
      </w:r>
      <w:r w:rsidR="009575E2">
        <w:rPr>
          <w:rFonts w:asciiTheme="majorHAnsi" w:hAnsiTheme="majorHAnsi" w:cstheme="majorHAnsi"/>
          <w:iCs/>
          <w:sz w:val="18"/>
          <w:szCs w:val="18"/>
        </w:rPr>
        <w:t>modal</w:t>
      </w:r>
      <w:r w:rsidR="00130336">
        <w:rPr>
          <w:rFonts w:asciiTheme="majorHAnsi" w:hAnsiTheme="majorHAnsi" w:cstheme="majorHAnsi"/>
          <w:iCs/>
          <w:sz w:val="18"/>
          <w:szCs w:val="18"/>
        </w:rPr>
        <w:t xml:space="preserve"> share</w:t>
      </w:r>
      <w:r w:rsidR="009575E2">
        <w:rPr>
          <w:rFonts w:asciiTheme="majorHAnsi" w:hAnsiTheme="majorHAnsi" w:cstheme="majorHAnsi"/>
          <w:iCs/>
          <w:sz w:val="18"/>
          <w:szCs w:val="18"/>
        </w:rPr>
        <w:t xml:space="preserve"> for truck. This reflects market </w:t>
      </w:r>
      <w:r w:rsidR="00236649">
        <w:rPr>
          <w:rFonts w:asciiTheme="majorHAnsi" w:hAnsiTheme="majorHAnsi" w:cstheme="majorHAnsi"/>
          <w:iCs/>
          <w:sz w:val="18"/>
          <w:szCs w:val="18"/>
        </w:rPr>
        <w:t xml:space="preserve">and regulatory pressures </w:t>
      </w:r>
      <w:r w:rsidR="00AF7FC6">
        <w:rPr>
          <w:rFonts w:asciiTheme="majorHAnsi" w:hAnsiTheme="majorHAnsi" w:cstheme="majorHAnsi"/>
          <w:iCs/>
          <w:sz w:val="18"/>
          <w:szCs w:val="18"/>
        </w:rPr>
        <w:t>facing ammonia rail shippers</w:t>
      </w:r>
      <w:r w:rsidR="00236649">
        <w:rPr>
          <w:rFonts w:asciiTheme="majorHAnsi" w:hAnsiTheme="majorHAnsi" w:cstheme="majorHAnsi"/>
          <w:iCs/>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C74DE" w14:textId="79A63D12" w:rsidR="00F9287F" w:rsidRDefault="00C04B36">
    <w:pPr>
      <w:pStyle w:val="Header"/>
    </w:pPr>
    <w:r>
      <w:rPr>
        <w:noProof/>
      </w:rPr>
      <w:drawing>
        <wp:inline distT="0" distB="0" distL="0" distR="0" wp14:anchorId="7981D0F3" wp14:editId="0439EC66">
          <wp:extent cx="1956816" cy="95700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017" cy="96884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1DCEC" w14:textId="56795449" w:rsidR="00B005BC" w:rsidRDefault="00C04B36" w:rsidP="007D2A20">
    <w:pPr>
      <w:widowControl/>
    </w:pPr>
    <w:r>
      <w:rPr>
        <w:noProof/>
      </w:rPr>
      <w:drawing>
        <wp:inline distT="0" distB="0" distL="0" distR="0" wp14:anchorId="07A3654A" wp14:editId="22718986">
          <wp:extent cx="1956816" cy="957004"/>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017" cy="968840"/>
                  </a:xfrm>
                  <a:prstGeom prst="rect">
                    <a:avLst/>
                  </a:prstGeom>
                  <a:noFill/>
                </pic:spPr>
              </pic:pic>
            </a:graphicData>
          </a:graphic>
        </wp:inline>
      </w:drawing>
    </w:r>
    <w:r w:rsidR="00B005BC">
      <w:rPr>
        <w:b/>
        <w:color w:val="4C004C"/>
        <w:sz w:val="52"/>
        <w:szCs w:val="5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924D6C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59F2D99"/>
    <w:multiLevelType w:val="hybridMultilevel"/>
    <w:tmpl w:val="EEDC2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9277F6"/>
    <w:multiLevelType w:val="hybridMultilevel"/>
    <w:tmpl w:val="BE823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4D43E8"/>
    <w:multiLevelType w:val="hybridMultilevel"/>
    <w:tmpl w:val="98989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A24669"/>
    <w:multiLevelType w:val="hybridMultilevel"/>
    <w:tmpl w:val="D22EA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9D73E5"/>
    <w:multiLevelType w:val="hybridMultilevel"/>
    <w:tmpl w:val="D66A2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B77865"/>
    <w:multiLevelType w:val="hybridMultilevel"/>
    <w:tmpl w:val="F52A1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22625794">
    <w:abstractNumId w:val="0"/>
  </w:num>
  <w:num w:numId="2" w16cid:durableId="1795829241">
    <w:abstractNumId w:val="6"/>
  </w:num>
  <w:num w:numId="3" w16cid:durableId="1972782190">
    <w:abstractNumId w:val="2"/>
  </w:num>
  <w:num w:numId="4" w16cid:durableId="148835211">
    <w:abstractNumId w:val="4"/>
  </w:num>
  <w:num w:numId="5" w16cid:durableId="693268110">
    <w:abstractNumId w:val="1"/>
  </w:num>
  <w:num w:numId="6" w16cid:durableId="154541854">
    <w:abstractNumId w:val="3"/>
  </w:num>
  <w:num w:numId="7" w16cid:durableId="186924842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4"/>
  <w:drawingGridVerticalSpacing w:val="65"/>
  <w:displayHorizontalDrawingGridEvery w:val="0"/>
  <w:doNotShadeFormData/>
  <w:characterSpacingControl w:val="compressPunctuation"/>
  <w:hdrShapeDefaults>
    <o:shapedefaults v:ext="edit" spidmax="2050">
      <o:colormru v:ext="edit" colors="#06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8DB"/>
    <w:rsid w:val="00000B12"/>
    <w:rsid w:val="000142CC"/>
    <w:rsid w:val="0001470A"/>
    <w:rsid w:val="000204E6"/>
    <w:rsid w:val="00023C93"/>
    <w:rsid w:val="000249D8"/>
    <w:rsid w:val="00040137"/>
    <w:rsid w:val="00052CE7"/>
    <w:rsid w:val="0006537A"/>
    <w:rsid w:val="00070D42"/>
    <w:rsid w:val="00072328"/>
    <w:rsid w:val="00076103"/>
    <w:rsid w:val="00076674"/>
    <w:rsid w:val="00082FF8"/>
    <w:rsid w:val="000909C6"/>
    <w:rsid w:val="00095111"/>
    <w:rsid w:val="000A60B9"/>
    <w:rsid w:val="000B4828"/>
    <w:rsid w:val="000C196C"/>
    <w:rsid w:val="000C246D"/>
    <w:rsid w:val="000E4939"/>
    <w:rsid w:val="000F110F"/>
    <w:rsid w:val="000F3B7C"/>
    <w:rsid w:val="000F5B4E"/>
    <w:rsid w:val="00106264"/>
    <w:rsid w:val="00110E14"/>
    <w:rsid w:val="00112E84"/>
    <w:rsid w:val="00114C75"/>
    <w:rsid w:val="00117334"/>
    <w:rsid w:val="00117B5F"/>
    <w:rsid w:val="00126B10"/>
    <w:rsid w:val="00130336"/>
    <w:rsid w:val="00131B5A"/>
    <w:rsid w:val="001328F6"/>
    <w:rsid w:val="001435ED"/>
    <w:rsid w:val="00161DD8"/>
    <w:rsid w:val="00166470"/>
    <w:rsid w:val="001665DE"/>
    <w:rsid w:val="00167615"/>
    <w:rsid w:val="0017003F"/>
    <w:rsid w:val="00174A4A"/>
    <w:rsid w:val="0017605D"/>
    <w:rsid w:val="00182362"/>
    <w:rsid w:val="001961CA"/>
    <w:rsid w:val="001A036B"/>
    <w:rsid w:val="001A1ECE"/>
    <w:rsid w:val="001A24A9"/>
    <w:rsid w:val="001A33DE"/>
    <w:rsid w:val="001B0112"/>
    <w:rsid w:val="001C50F0"/>
    <w:rsid w:val="001D3365"/>
    <w:rsid w:val="001E4D6D"/>
    <w:rsid w:val="001E6AD5"/>
    <w:rsid w:val="001E7542"/>
    <w:rsid w:val="001F2DE8"/>
    <w:rsid w:val="00200028"/>
    <w:rsid w:val="002019E9"/>
    <w:rsid w:val="002034F5"/>
    <w:rsid w:val="00204BA2"/>
    <w:rsid w:val="00206D6E"/>
    <w:rsid w:val="002079F6"/>
    <w:rsid w:val="0021201F"/>
    <w:rsid w:val="0021469E"/>
    <w:rsid w:val="00214751"/>
    <w:rsid w:val="00215BD4"/>
    <w:rsid w:val="00223993"/>
    <w:rsid w:val="00227C9E"/>
    <w:rsid w:val="0023380C"/>
    <w:rsid w:val="00235D37"/>
    <w:rsid w:val="00236649"/>
    <w:rsid w:val="00246D6F"/>
    <w:rsid w:val="002557EA"/>
    <w:rsid w:val="00256518"/>
    <w:rsid w:val="00256BD0"/>
    <w:rsid w:val="002633CC"/>
    <w:rsid w:val="00264C08"/>
    <w:rsid w:val="002755BD"/>
    <w:rsid w:val="0028620A"/>
    <w:rsid w:val="00293DB1"/>
    <w:rsid w:val="00294B00"/>
    <w:rsid w:val="002A0DAD"/>
    <w:rsid w:val="002A3BB4"/>
    <w:rsid w:val="002B0418"/>
    <w:rsid w:val="002B30BA"/>
    <w:rsid w:val="002E03DD"/>
    <w:rsid w:val="002F2F67"/>
    <w:rsid w:val="002F49A5"/>
    <w:rsid w:val="002F4E42"/>
    <w:rsid w:val="002F72E4"/>
    <w:rsid w:val="00300C85"/>
    <w:rsid w:val="003038AA"/>
    <w:rsid w:val="003061F9"/>
    <w:rsid w:val="00307646"/>
    <w:rsid w:val="003113D2"/>
    <w:rsid w:val="003250F9"/>
    <w:rsid w:val="0033588C"/>
    <w:rsid w:val="003406BE"/>
    <w:rsid w:val="0034609C"/>
    <w:rsid w:val="0034677A"/>
    <w:rsid w:val="00360CBF"/>
    <w:rsid w:val="00363D90"/>
    <w:rsid w:val="00366527"/>
    <w:rsid w:val="0037142C"/>
    <w:rsid w:val="003759A2"/>
    <w:rsid w:val="00377512"/>
    <w:rsid w:val="003814A2"/>
    <w:rsid w:val="00381B19"/>
    <w:rsid w:val="00382866"/>
    <w:rsid w:val="00383D74"/>
    <w:rsid w:val="00387ED1"/>
    <w:rsid w:val="0039050E"/>
    <w:rsid w:val="003A2CC7"/>
    <w:rsid w:val="003B2D53"/>
    <w:rsid w:val="003C0D4F"/>
    <w:rsid w:val="003C2327"/>
    <w:rsid w:val="003D249A"/>
    <w:rsid w:val="003D350C"/>
    <w:rsid w:val="003D45A5"/>
    <w:rsid w:val="003D7E0E"/>
    <w:rsid w:val="003D7E41"/>
    <w:rsid w:val="003E268E"/>
    <w:rsid w:val="003E50A3"/>
    <w:rsid w:val="003F200E"/>
    <w:rsid w:val="003F5DFA"/>
    <w:rsid w:val="004015B9"/>
    <w:rsid w:val="00406907"/>
    <w:rsid w:val="004106C5"/>
    <w:rsid w:val="0041179E"/>
    <w:rsid w:val="004212DF"/>
    <w:rsid w:val="00426845"/>
    <w:rsid w:val="00430D1E"/>
    <w:rsid w:val="00434AF7"/>
    <w:rsid w:val="0044307A"/>
    <w:rsid w:val="00443565"/>
    <w:rsid w:val="00443D11"/>
    <w:rsid w:val="00451245"/>
    <w:rsid w:val="0045646D"/>
    <w:rsid w:val="004666E4"/>
    <w:rsid w:val="004730BA"/>
    <w:rsid w:val="00473729"/>
    <w:rsid w:val="00477B67"/>
    <w:rsid w:val="0048065F"/>
    <w:rsid w:val="0048372F"/>
    <w:rsid w:val="00485D2A"/>
    <w:rsid w:val="00486DD3"/>
    <w:rsid w:val="00495BBC"/>
    <w:rsid w:val="00495E5E"/>
    <w:rsid w:val="00497921"/>
    <w:rsid w:val="004A0F5F"/>
    <w:rsid w:val="004B1F33"/>
    <w:rsid w:val="004B5ACF"/>
    <w:rsid w:val="004B7F3A"/>
    <w:rsid w:val="004C0663"/>
    <w:rsid w:val="004C14FD"/>
    <w:rsid w:val="004C7AD7"/>
    <w:rsid w:val="004D25C1"/>
    <w:rsid w:val="004D3A03"/>
    <w:rsid w:val="004D3FD8"/>
    <w:rsid w:val="004E211A"/>
    <w:rsid w:val="004E3110"/>
    <w:rsid w:val="004E4D15"/>
    <w:rsid w:val="004F030D"/>
    <w:rsid w:val="004F0F2B"/>
    <w:rsid w:val="004F10F6"/>
    <w:rsid w:val="004F6C26"/>
    <w:rsid w:val="004F6DCA"/>
    <w:rsid w:val="00504CE9"/>
    <w:rsid w:val="005122C3"/>
    <w:rsid w:val="005122E7"/>
    <w:rsid w:val="00513EC3"/>
    <w:rsid w:val="005161F2"/>
    <w:rsid w:val="0051688D"/>
    <w:rsid w:val="00523E27"/>
    <w:rsid w:val="00531843"/>
    <w:rsid w:val="005464B7"/>
    <w:rsid w:val="005521CB"/>
    <w:rsid w:val="0055376F"/>
    <w:rsid w:val="005569CD"/>
    <w:rsid w:val="00557D6D"/>
    <w:rsid w:val="0056021D"/>
    <w:rsid w:val="00561670"/>
    <w:rsid w:val="005672E3"/>
    <w:rsid w:val="00567A16"/>
    <w:rsid w:val="00571948"/>
    <w:rsid w:val="00574DE3"/>
    <w:rsid w:val="00580E3F"/>
    <w:rsid w:val="00581CBB"/>
    <w:rsid w:val="00586E80"/>
    <w:rsid w:val="0059263A"/>
    <w:rsid w:val="005930C8"/>
    <w:rsid w:val="00595E29"/>
    <w:rsid w:val="00596997"/>
    <w:rsid w:val="005A0115"/>
    <w:rsid w:val="005A3187"/>
    <w:rsid w:val="005A6325"/>
    <w:rsid w:val="005A6566"/>
    <w:rsid w:val="005B0DA3"/>
    <w:rsid w:val="005B60C3"/>
    <w:rsid w:val="005B6124"/>
    <w:rsid w:val="005B7FD9"/>
    <w:rsid w:val="005C43F5"/>
    <w:rsid w:val="005C4769"/>
    <w:rsid w:val="005D46F8"/>
    <w:rsid w:val="005D5F6B"/>
    <w:rsid w:val="005D6BF9"/>
    <w:rsid w:val="005E3736"/>
    <w:rsid w:val="005E5B16"/>
    <w:rsid w:val="005E70DC"/>
    <w:rsid w:val="005F6845"/>
    <w:rsid w:val="00602A11"/>
    <w:rsid w:val="00606C7E"/>
    <w:rsid w:val="00610EEC"/>
    <w:rsid w:val="006125D5"/>
    <w:rsid w:val="006141A7"/>
    <w:rsid w:val="00615732"/>
    <w:rsid w:val="00616230"/>
    <w:rsid w:val="00616E66"/>
    <w:rsid w:val="00617533"/>
    <w:rsid w:val="006240E6"/>
    <w:rsid w:val="00624C09"/>
    <w:rsid w:val="00624C6A"/>
    <w:rsid w:val="00642925"/>
    <w:rsid w:val="006431F7"/>
    <w:rsid w:val="00643942"/>
    <w:rsid w:val="00643FAC"/>
    <w:rsid w:val="00645E4F"/>
    <w:rsid w:val="00650B33"/>
    <w:rsid w:val="00650EAB"/>
    <w:rsid w:val="0065180D"/>
    <w:rsid w:val="006539EF"/>
    <w:rsid w:val="00661E74"/>
    <w:rsid w:val="006623A3"/>
    <w:rsid w:val="0066725F"/>
    <w:rsid w:val="006745A3"/>
    <w:rsid w:val="00674E25"/>
    <w:rsid w:val="00683EF7"/>
    <w:rsid w:val="0068528E"/>
    <w:rsid w:val="006908E2"/>
    <w:rsid w:val="00690D89"/>
    <w:rsid w:val="00692052"/>
    <w:rsid w:val="0069211E"/>
    <w:rsid w:val="00694418"/>
    <w:rsid w:val="00695995"/>
    <w:rsid w:val="006A0657"/>
    <w:rsid w:val="006A0BD4"/>
    <w:rsid w:val="006B1109"/>
    <w:rsid w:val="006B1A08"/>
    <w:rsid w:val="006B4135"/>
    <w:rsid w:val="006C08D8"/>
    <w:rsid w:val="006C24B2"/>
    <w:rsid w:val="006C4F82"/>
    <w:rsid w:val="006D0B86"/>
    <w:rsid w:val="006D37B0"/>
    <w:rsid w:val="006D518F"/>
    <w:rsid w:val="006E28C9"/>
    <w:rsid w:val="006E37AD"/>
    <w:rsid w:val="006E4E46"/>
    <w:rsid w:val="006E54D8"/>
    <w:rsid w:val="006F620F"/>
    <w:rsid w:val="00701364"/>
    <w:rsid w:val="007067C7"/>
    <w:rsid w:val="00710AFD"/>
    <w:rsid w:val="00734444"/>
    <w:rsid w:val="0073454C"/>
    <w:rsid w:val="007352A1"/>
    <w:rsid w:val="007369EE"/>
    <w:rsid w:val="00736A87"/>
    <w:rsid w:val="00740712"/>
    <w:rsid w:val="007412B5"/>
    <w:rsid w:val="00745188"/>
    <w:rsid w:val="00762E2C"/>
    <w:rsid w:val="0077039E"/>
    <w:rsid w:val="007736E5"/>
    <w:rsid w:val="00775135"/>
    <w:rsid w:val="00792331"/>
    <w:rsid w:val="00792F8A"/>
    <w:rsid w:val="0079353E"/>
    <w:rsid w:val="007A066F"/>
    <w:rsid w:val="007A1B41"/>
    <w:rsid w:val="007A2BA6"/>
    <w:rsid w:val="007B26FB"/>
    <w:rsid w:val="007B482B"/>
    <w:rsid w:val="007B7656"/>
    <w:rsid w:val="007B7BA4"/>
    <w:rsid w:val="007C2ED2"/>
    <w:rsid w:val="007D2A20"/>
    <w:rsid w:val="007D7D86"/>
    <w:rsid w:val="007E162C"/>
    <w:rsid w:val="007F4CDA"/>
    <w:rsid w:val="007F774B"/>
    <w:rsid w:val="00812595"/>
    <w:rsid w:val="00812E83"/>
    <w:rsid w:val="00815FCF"/>
    <w:rsid w:val="008225FA"/>
    <w:rsid w:val="008227A8"/>
    <w:rsid w:val="00834917"/>
    <w:rsid w:val="00837BD4"/>
    <w:rsid w:val="00842D46"/>
    <w:rsid w:val="00847961"/>
    <w:rsid w:val="00855B96"/>
    <w:rsid w:val="008562FB"/>
    <w:rsid w:val="00865A72"/>
    <w:rsid w:val="00871EC8"/>
    <w:rsid w:val="00872481"/>
    <w:rsid w:val="0087314C"/>
    <w:rsid w:val="00875387"/>
    <w:rsid w:val="00886A4A"/>
    <w:rsid w:val="00893322"/>
    <w:rsid w:val="0089333C"/>
    <w:rsid w:val="008A258A"/>
    <w:rsid w:val="008B7894"/>
    <w:rsid w:val="008B7F32"/>
    <w:rsid w:val="008C419C"/>
    <w:rsid w:val="008C448B"/>
    <w:rsid w:val="008C71AF"/>
    <w:rsid w:val="008D75BC"/>
    <w:rsid w:val="008E09E3"/>
    <w:rsid w:val="008E1E5A"/>
    <w:rsid w:val="008E2319"/>
    <w:rsid w:val="008F1A4F"/>
    <w:rsid w:val="009078AE"/>
    <w:rsid w:val="0092655D"/>
    <w:rsid w:val="009300B7"/>
    <w:rsid w:val="00934212"/>
    <w:rsid w:val="009367CE"/>
    <w:rsid w:val="00945DB9"/>
    <w:rsid w:val="00946F64"/>
    <w:rsid w:val="00947CD2"/>
    <w:rsid w:val="0095397C"/>
    <w:rsid w:val="0095423B"/>
    <w:rsid w:val="009563BB"/>
    <w:rsid w:val="009575E2"/>
    <w:rsid w:val="00963ADA"/>
    <w:rsid w:val="0096728B"/>
    <w:rsid w:val="009726C3"/>
    <w:rsid w:val="00973B69"/>
    <w:rsid w:val="0098059A"/>
    <w:rsid w:val="00984676"/>
    <w:rsid w:val="00984732"/>
    <w:rsid w:val="00994A47"/>
    <w:rsid w:val="009A3421"/>
    <w:rsid w:val="009A5CC8"/>
    <w:rsid w:val="009A6411"/>
    <w:rsid w:val="009A7F0B"/>
    <w:rsid w:val="009C0732"/>
    <w:rsid w:val="009D2705"/>
    <w:rsid w:val="009D7844"/>
    <w:rsid w:val="009E1419"/>
    <w:rsid w:val="009E210B"/>
    <w:rsid w:val="009E310C"/>
    <w:rsid w:val="009E5D61"/>
    <w:rsid w:val="009F37CA"/>
    <w:rsid w:val="009F6561"/>
    <w:rsid w:val="00A0013F"/>
    <w:rsid w:val="00A055AF"/>
    <w:rsid w:val="00A057C2"/>
    <w:rsid w:val="00A10182"/>
    <w:rsid w:val="00A16F62"/>
    <w:rsid w:val="00A17535"/>
    <w:rsid w:val="00A240C7"/>
    <w:rsid w:val="00A24B9E"/>
    <w:rsid w:val="00A24C54"/>
    <w:rsid w:val="00A25C2F"/>
    <w:rsid w:val="00A34E86"/>
    <w:rsid w:val="00A36B90"/>
    <w:rsid w:val="00A40D7A"/>
    <w:rsid w:val="00A57BB8"/>
    <w:rsid w:val="00A6417A"/>
    <w:rsid w:val="00A641B3"/>
    <w:rsid w:val="00A771E6"/>
    <w:rsid w:val="00A80655"/>
    <w:rsid w:val="00A8575C"/>
    <w:rsid w:val="00A8690B"/>
    <w:rsid w:val="00A966C2"/>
    <w:rsid w:val="00A9786F"/>
    <w:rsid w:val="00AA2DF8"/>
    <w:rsid w:val="00AA4D18"/>
    <w:rsid w:val="00AB1E8F"/>
    <w:rsid w:val="00AC7DDC"/>
    <w:rsid w:val="00AD22DB"/>
    <w:rsid w:val="00AD6ED8"/>
    <w:rsid w:val="00AD7296"/>
    <w:rsid w:val="00AE053D"/>
    <w:rsid w:val="00AE4E5A"/>
    <w:rsid w:val="00AE5264"/>
    <w:rsid w:val="00AE71B6"/>
    <w:rsid w:val="00AE7FA6"/>
    <w:rsid w:val="00AF5A10"/>
    <w:rsid w:val="00AF71BB"/>
    <w:rsid w:val="00AF72E8"/>
    <w:rsid w:val="00AF7FC6"/>
    <w:rsid w:val="00B005BC"/>
    <w:rsid w:val="00B0770D"/>
    <w:rsid w:val="00B07D9C"/>
    <w:rsid w:val="00B1247F"/>
    <w:rsid w:val="00B144AD"/>
    <w:rsid w:val="00B20212"/>
    <w:rsid w:val="00B207F9"/>
    <w:rsid w:val="00B21F66"/>
    <w:rsid w:val="00B24410"/>
    <w:rsid w:val="00B24E75"/>
    <w:rsid w:val="00B273E1"/>
    <w:rsid w:val="00B4210A"/>
    <w:rsid w:val="00B42A74"/>
    <w:rsid w:val="00B55724"/>
    <w:rsid w:val="00B60463"/>
    <w:rsid w:val="00B63BE5"/>
    <w:rsid w:val="00B7094B"/>
    <w:rsid w:val="00B72412"/>
    <w:rsid w:val="00B7473B"/>
    <w:rsid w:val="00BA0FBD"/>
    <w:rsid w:val="00BB09ED"/>
    <w:rsid w:val="00BB0E80"/>
    <w:rsid w:val="00BB4F3E"/>
    <w:rsid w:val="00BB53D8"/>
    <w:rsid w:val="00BD1A85"/>
    <w:rsid w:val="00BD705D"/>
    <w:rsid w:val="00BE2FF1"/>
    <w:rsid w:val="00BE67C0"/>
    <w:rsid w:val="00BE722F"/>
    <w:rsid w:val="00BF1084"/>
    <w:rsid w:val="00BF1A51"/>
    <w:rsid w:val="00BF320B"/>
    <w:rsid w:val="00BF6D95"/>
    <w:rsid w:val="00BF7519"/>
    <w:rsid w:val="00C04768"/>
    <w:rsid w:val="00C04B36"/>
    <w:rsid w:val="00C053AD"/>
    <w:rsid w:val="00C25233"/>
    <w:rsid w:val="00C25A2C"/>
    <w:rsid w:val="00C463AA"/>
    <w:rsid w:val="00C51661"/>
    <w:rsid w:val="00C63615"/>
    <w:rsid w:val="00C70573"/>
    <w:rsid w:val="00C71DE7"/>
    <w:rsid w:val="00C7297D"/>
    <w:rsid w:val="00C74F66"/>
    <w:rsid w:val="00C75302"/>
    <w:rsid w:val="00C77BAA"/>
    <w:rsid w:val="00C83F0D"/>
    <w:rsid w:val="00C848C9"/>
    <w:rsid w:val="00CA0B8D"/>
    <w:rsid w:val="00CA4763"/>
    <w:rsid w:val="00CB5172"/>
    <w:rsid w:val="00CC1EDC"/>
    <w:rsid w:val="00CC4E98"/>
    <w:rsid w:val="00CD18D8"/>
    <w:rsid w:val="00CD226B"/>
    <w:rsid w:val="00CD27CB"/>
    <w:rsid w:val="00CD4BCD"/>
    <w:rsid w:val="00CE0CF8"/>
    <w:rsid w:val="00CE54BF"/>
    <w:rsid w:val="00CF1547"/>
    <w:rsid w:val="00CF7B56"/>
    <w:rsid w:val="00D0427E"/>
    <w:rsid w:val="00D067CC"/>
    <w:rsid w:val="00D161EB"/>
    <w:rsid w:val="00D16B17"/>
    <w:rsid w:val="00D2455E"/>
    <w:rsid w:val="00D25CC0"/>
    <w:rsid w:val="00D346AC"/>
    <w:rsid w:val="00D34F94"/>
    <w:rsid w:val="00D404D9"/>
    <w:rsid w:val="00D40760"/>
    <w:rsid w:val="00D40FED"/>
    <w:rsid w:val="00D515D2"/>
    <w:rsid w:val="00D56253"/>
    <w:rsid w:val="00D66967"/>
    <w:rsid w:val="00D7704C"/>
    <w:rsid w:val="00D82A71"/>
    <w:rsid w:val="00D83486"/>
    <w:rsid w:val="00D8473E"/>
    <w:rsid w:val="00D85E2B"/>
    <w:rsid w:val="00D86EC5"/>
    <w:rsid w:val="00D90671"/>
    <w:rsid w:val="00D90DB1"/>
    <w:rsid w:val="00D918DE"/>
    <w:rsid w:val="00D96825"/>
    <w:rsid w:val="00D96B3A"/>
    <w:rsid w:val="00DA42D2"/>
    <w:rsid w:val="00DA63BF"/>
    <w:rsid w:val="00DB4BEB"/>
    <w:rsid w:val="00DB5BD6"/>
    <w:rsid w:val="00DC0602"/>
    <w:rsid w:val="00DC50AC"/>
    <w:rsid w:val="00DD216B"/>
    <w:rsid w:val="00DD2751"/>
    <w:rsid w:val="00DE5341"/>
    <w:rsid w:val="00DF0AA1"/>
    <w:rsid w:val="00E0186B"/>
    <w:rsid w:val="00E03195"/>
    <w:rsid w:val="00E25C35"/>
    <w:rsid w:val="00E31D84"/>
    <w:rsid w:val="00E34775"/>
    <w:rsid w:val="00E43D1B"/>
    <w:rsid w:val="00E610FD"/>
    <w:rsid w:val="00E86B4E"/>
    <w:rsid w:val="00E87485"/>
    <w:rsid w:val="00EA30E8"/>
    <w:rsid w:val="00EA4195"/>
    <w:rsid w:val="00EA58DB"/>
    <w:rsid w:val="00EB0940"/>
    <w:rsid w:val="00EB62A9"/>
    <w:rsid w:val="00EC3531"/>
    <w:rsid w:val="00EC7649"/>
    <w:rsid w:val="00ED2A88"/>
    <w:rsid w:val="00ED60C0"/>
    <w:rsid w:val="00F01E54"/>
    <w:rsid w:val="00F10ED7"/>
    <w:rsid w:val="00F262E4"/>
    <w:rsid w:val="00F27841"/>
    <w:rsid w:val="00F31421"/>
    <w:rsid w:val="00F33792"/>
    <w:rsid w:val="00F36D2E"/>
    <w:rsid w:val="00F46360"/>
    <w:rsid w:val="00F5595F"/>
    <w:rsid w:val="00F60360"/>
    <w:rsid w:val="00F61570"/>
    <w:rsid w:val="00F61B27"/>
    <w:rsid w:val="00F652EF"/>
    <w:rsid w:val="00F657D9"/>
    <w:rsid w:val="00F72EF4"/>
    <w:rsid w:val="00F831CA"/>
    <w:rsid w:val="00F87229"/>
    <w:rsid w:val="00F922A2"/>
    <w:rsid w:val="00F9287F"/>
    <w:rsid w:val="00F96122"/>
    <w:rsid w:val="00FA42D6"/>
    <w:rsid w:val="00FA7B0A"/>
    <w:rsid w:val="00FB6004"/>
    <w:rsid w:val="00FB7774"/>
    <w:rsid w:val="00FC4DF0"/>
    <w:rsid w:val="00FD1213"/>
    <w:rsid w:val="00FF1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0"/>
    </o:shapedefaults>
    <o:shapelayout v:ext="edit">
      <o:idmap v:ext="edit" data="2"/>
    </o:shapelayout>
  </w:shapeDefaults>
  <w:doNotEmbedSmartTags/>
  <w:decimalSymbol w:val="."/>
  <w:listSeparator w:val=","/>
  <w14:docId w14:val="75C2EF88"/>
  <w15:chartTrackingRefBased/>
  <w15:docId w15:val="{C5E1A1A4-B884-4029-99DF-64A4C519B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4444"/>
    <w:pPr>
      <w:widowControl w:val="0"/>
      <w:autoSpaceDE w:val="0"/>
      <w:autoSpaceDN w:val="0"/>
      <w:adjustRightInd w:val="0"/>
    </w:pPr>
    <w:rPr>
      <w:sz w:val="24"/>
      <w:szCs w:val="24"/>
    </w:rPr>
  </w:style>
  <w:style w:type="paragraph" w:styleId="Heading1">
    <w:name w:val="heading 1"/>
    <w:basedOn w:val="Normal"/>
    <w:next w:val="Normal"/>
    <w:link w:val="Heading1Char"/>
    <w:qFormat/>
    <w:rsid w:val="00DA42D2"/>
    <w:pPr>
      <w:outlineLvl w:val="0"/>
    </w:pPr>
    <w:rPr>
      <w:lang w:val="x-none" w:eastAsia="x-none"/>
    </w:rPr>
  </w:style>
  <w:style w:type="paragraph" w:styleId="Heading3">
    <w:name w:val="heading 3"/>
    <w:basedOn w:val="Normal"/>
    <w:next w:val="Normal"/>
    <w:link w:val="Heading3Char"/>
    <w:qFormat/>
    <w:rsid w:val="00DA42D2"/>
    <w:pPr>
      <w:outlineLvl w:val="2"/>
    </w:pPr>
    <w:rPr>
      <w:lang w:val="x-none" w:eastAsia="x-none"/>
    </w:rPr>
  </w:style>
  <w:style w:type="paragraph" w:styleId="Heading4">
    <w:name w:val="heading 4"/>
    <w:basedOn w:val="Normal"/>
    <w:next w:val="Normal"/>
    <w:link w:val="Heading4Char"/>
    <w:qFormat/>
    <w:rsid w:val="00DA42D2"/>
    <w:pPr>
      <w:outlineLvl w:val="3"/>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113D2"/>
    <w:pPr>
      <w:tabs>
        <w:tab w:val="center" w:pos="4320"/>
        <w:tab w:val="right" w:pos="8640"/>
      </w:tabs>
    </w:pPr>
  </w:style>
  <w:style w:type="paragraph" w:styleId="Footer">
    <w:name w:val="footer"/>
    <w:basedOn w:val="Normal"/>
    <w:link w:val="FooterChar"/>
    <w:uiPriority w:val="99"/>
    <w:rsid w:val="003113D2"/>
    <w:pPr>
      <w:tabs>
        <w:tab w:val="center" w:pos="4320"/>
        <w:tab w:val="right" w:pos="8640"/>
      </w:tabs>
    </w:pPr>
  </w:style>
  <w:style w:type="character" w:styleId="Hyperlink">
    <w:name w:val="Hyperlink"/>
    <w:uiPriority w:val="99"/>
    <w:rsid w:val="003113D2"/>
    <w:rPr>
      <w:color w:val="0000FF"/>
      <w:u w:val="single"/>
    </w:rPr>
  </w:style>
  <w:style w:type="paragraph" w:styleId="BalloonText">
    <w:name w:val="Balloon Text"/>
    <w:basedOn w:val="Normal"/>
    <w:semiHidden/>
    <w:rsid w:val="00BF1A51"/>
    <w:rPr>
      <w:rFonts w:ascii="Tahoma" w:hAnsi="Tahoma" w:cs="Tahoma"/>
      <w:sz w:val="16"/>
      <w:szCs w:val="16"/>
    </w:rPr>
  </w:style>
  <w:style w:type="paragraph" w:styleId="NoSpacing">
    <w:name w:val="No Spacing"/>
    <w:uiPriority w:val="1"/>
    <w:qFormat/>
    <w:rsid w:val="00855B96"/>
    <w:rPr>
      <w:rFonts w:ascii="Calibri" w:eastAsia="Calibri" w:hAnsi="Calibri"/>
      <w:sz w:val="22"/>
      <w:szCs w:val="22"/>
    </w:rPr>
  </w:style>
  <w:style w:type="character" w:customStyle="1" w:styleId="Heading1Char">
    <w:name w:val="Heading 1 Char"/>
    <w:link w:val="Heading1"/>
    <w:rsid w:val="00DA42D2"/>
    <w:rPr>
      <w:sz w:val="24"/>
      <w:szCs w:val="24"/>
    </w:rPr>
  </w:style>
  <w:style w:type="character" w:customStyle="1" w:styleId="Heading3Char">
    <w:name w:val="Heading 3 Char"/>
    <w:link w:val="Heading3"/>
    <w:rsid w:val="00DA42D2"/>
    <w:rPr>
      <w:sz w:val="24"/>
      <w:szCs w:val="24"/>
    </w:rPr>
  </w:style>
  <w:style w:type="character" w:customStyle="1" w:styleId="Heading4Char">
    <w:name w:val="Heading 4 Char"/>
    <w:link w:val="Heading4"/>
    <w:rsid w:val="00DA42D2"/>
    <w:rPr>
      <w:sz w:val="24"/>
      <w:szCs w:val="24"/>
    </w:rPr>
  </w:style>
  <w:style w:type="paragraph" w:styleId="ListBullet">
    <w:name w:val="List Bullet"/>
    <w:basedOn w:val="Normal"/>
    <w:rsid w:val="00DA42D2"/>
    <w:pPr>
      <w:numPr>
        <w:numId w:val="1"/>
      </w:numPr>
    </w:pPr>
  </w:style>
  <w:style w:type="character" w:customStyle="1" w:styleId="remove-absolute">
    <w:name w:val="remove-absolute"/>
    <w:rsid w:val="00D90DB1"/>
  </w:style>
  <w:style w:type="character" w:styleId="Emphasis">
    <w:name w:val="Emphasis"/>
    <w:uiPriority w:val="20"/>
    <w:qFormat/>
    <w:rsid w:val="001E7542"/>
    <w:rPr>
      <w:i/>
      <w:iCs/>
    </w:rPr>
  </w:style>
  <w:style w:type="paragraph" w:styleId="ListParagraph">
    <w:name w:val="List Paragraph"/>
    <w:basedOn w:val="Normal"/>
    <w:uiPriority w:val="34"/>
    <w:qFormat/>
    <w:rsid w:val="00CB5172"/>
    <w:pPr>
      <w:widowControl/>
      <w:autoSpaceDE/>
      <w:autoSpaceDN/>
      <w:adjustRightInd/>
      <w:ind w:left="720"/>
    </w:pPr>
    <w:rPr>
      <w:rFonts w:ascii="Calibri" w:eastAsia="Calibri" w:hAnsi="Calibri"/>
      <w:sz w:val="22"/>
      <w:szCs w:val="22"/>
    </w:rPr>
  </w:style>
  <w:style w:type="paragraph" w:customStyle="1" w:styleId="Default">
    <w:name w:val="Default"/>
    <w:rsid w:val="00EC7649"/>
    <w:pPr>
      <w:autoSpaceDE w:val="0"/>
      <w:autoSpaceDN w:val="0"/>
      <w:adjustRightInd w:val="0"/>
    </w:pPr>
    <w:rPr>
      <w:color w:val="000000"/>
      <w:sz w:val="24"/>
      <w:szCs w:val="24"/>
    </w:rPr>
  </w:style>
  <w:style w:type="paragraph" w:styleId="BodyTextIndent">
    <w:name w:val="Body Text Indent"/>
    <w:basedOn w:val="Normal"/>
    <w:link w:val="BodyTextIndentChar"/>
    <w:rsid w:val="006D518F"/>
    <w:pPr>
      <w:widowControl/>
      <w:autoSpaceDE/>
      <w:autoSpaceDN/>
      <w:adjustRightInd/>
      <w:ind w:left="720"/>
    </w:pPr>
    <w:rPr>
      <w:szCs w:val="20"/>
    </w:rPr>
  </w:style>
  <w:style w:type="character" w:customStyle="1" w:styleId="BodyTextIndentChar">
    <w:name w:val="Body Text Indent Char"/>
    <w:link w:val="BodyTextIndent"/>
    <w:rsid w:val="006D518F"/>
    <w:rPr>
      <w:sz w:val="24"/>
    </w:rPr>
  </w:style>
  <w:style w:type="paragraph" w:styleId="EndnoteText">
    <w:name w:val="endnote text"/>
    <w:basedOn w:val="Normal"/>
    <w:link w:val="EndnoteTextChar"/>
    <w:rsid w:val="004C7AD7"/>
    <w:rPr>
      <w:sz w:val="20"/>
      <w:szCs w:val="20"/>
    </w:rPr>
  </w:style>
  <w:style w:type="character" w:customStyle="1" w:styleId="EndnoteTextChar">
    <w:name w:val="Endnote Text Char"/>
    <w:basedOn w:val="DefaultParagraphFont"/>
    <w:link w:val="EndnoteText"/>
    <w:rsid w:val="004C7AD7"/>
  </w:style>
  <w:style w:type="character" w:styleId="EndnoteReference">
    <w:name w:val="endnote reference"/>
    <w:basedOn w:val="DefaultParagraphFont"/>
    <w:rsid w:val="004C7AD7"/>
    <w:rPr>
      <w:vertAlign w:val="superscript"/>
    </w:rPr>
  </w:style>
  <w:style w:type="paragraph" w:styleId="FootnoteText">
    <w:name w:val="footnote text"/>
    <w:basedOn w:val="Normal"/>
    <w:link w:val="FootnoteTextChar"/>
    <w:rsid w:val="004C7AD7"/>
    <w:rPr>
      <w:sz w:val="20"/>
      <w:szCs w:val="20"/>
    </w:rPr>
  </w:style>
  <w:style w:type="character" w:customStyle="1" w:styleId="FootnoteTextChar">
    <w:name w:val="Footnote Text Char"/>
    <w:basedOn w:val="DefaultParagraphFont"/>
    <w:link w:val="FootnoteText"/>
    <w:rsid w:val="004C7AD7"/>
  </w:style>
  <w:style w:type="character" w:styleId="FootnoteReference">
    <w:name w:val="footnote reference"/>
    <w:basedOn w:val="DefaultParagraphFont"/>
    <w:rsid w:val="004C7AD7"/>
    <w:rPr>
      <w:vertAlign w:val="superscript"/>
    </w:rPr>
  </w:style>
  <w:style w:type="character" w:customStyle="1" w:styleId="HeaderChar">
    <w:name w:val="Header Char"/>
    <w:basedOn w:val="DefaultParagraphFont"/>
    <w:link w:val="Header"/>
    <w:uiPriority w:val="99"/>
    <w:rsid w:val="008D75BC"/>
    <w:rPr>
      <w:sz w:val="24"/>
      <w:szCs w:val="24"/>
    </w:rPr>
  </w:style>
  <w:style w:type="table" w:styleId="TableGrid">
    <w:name w:val="Table Grid"/>
    <w:basedOn w:val="TableNormal"/>
    <w:rsid w:val="00865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9A7F0B"/>
    <w:rPr>
      <w:sz w:val="16"/>
      <w:szCs w:val="16"/>
    </w:rPr>
  </w:style>
  <w:style w:type="paragraph" w:styleId="CommentText">
    <w:name w:val="annotation text"/>
    <w:basedOn w:val="Normal"/>
    <w:link w:val="CommentTextChar"/>
    <w:rsid w:val="009A7F0B"/>
    <w:rPr>
      <w:sz w:val="20"/>
      <w:szCs w:val="20"/>
    </w:rPr>
  </w:style>
  <w:style w:type="character" w:customStyle="1" w:styleId="CommentTextChar">
    <w:name w:val="Comment Text Char"/>
    <w:basedOn w:val="DefaultParagraphFont"/>
    <w:link w:val="CommentText"/>
    <w:rsid w:val="009A7F0B"/>
  </w:style>
  <w:style w:type="paragraph" w:styleId="CommentSubject">
    <w:name w:val="annotation subject"/>
    <w:basedOn w:val="CommentText"/>
    <w:next w:val="CommentText"/>
    <w:link w:val="CommentSubjectChar"/>
    <w:rsid w:val="009A7F0B"/>
    <w:rPr>
      <w:b/>
      <w:bCs/>
    </w:rPr>
  </w:style>
  <w:style w:type="character" w:customStyle="1" w:styleId="CommentSubjectChar">
    <w:name w:val="Comment Subject Char"/>
    <w:basedOn w:val="CommentTextChar"/>
    <w:link w:val="CommentSubject"/>
    <w:rsid w:val="009A7F0B"/>
    <w:rPr>
      <w:b/>
      <w:bCs/>
    </w:rPr>
  </w:style>
  <w:style w:type="character" w:customStyle="1" w:styleId="FooterChar">
    <w:name w:val="Footer Char"/>
    <w:basedOn w:val="DefaultParagraphFont"/>
    <w:link w:val="Footer"/>
    <w:uiPriority w:val="99"/>
    <w:rsid w:val="003D45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164878">
      <w:bodyDiv w:val="1"/>
      <w:marLeft w:val="0"/>
      <w:marRight w:val="0"/>
      <w:marTop w:val="0"/>
      <w:marBottom w:val="0"/>
      <w:divBdr>
        <w:top w:val="none" w:sz="0" w:space="0" w:color="auto"/>
        <w:left w:val="none" w:sz="0" w:space="0" w:color="auto"/>
        <w:bottom w:val="none" w:sz="0" w:space="0" w:color="auto"/>
        <w:right w:val="none" w:sz="0" w:space="0" w:color="auto"/>
      </w:divBdr>
    </w:div>
    <w:div w:id="422188011">
      <w:bodyDiv w:val="1"/>
      <w:marLeft w:val="0"/>
      <w:marRight w:val="0"/>
      <w:marTop w:val="0"/>
      <w:marBottom w:val="0"/>
      <w:divBdr>
        <w:top w:val="none" w:sz="0" w:space="0" w:color="auto"/>
        <w:left w:val="none" w:sz="0" w:space="0" w:color="auto"/>
        <w:bottom w:val="none" w:sz="0" w:space="0" w:color="auto"/>
        <w:right w:val="none" w:sz="0" w:space="0" w:color="auto"/>
      </w:divBdr>
    </w:div>
    <w:div w:id="633873881">
      <w:bodyDiv w:val="1"/>
      <w:marLeft w:val="0"/>
      <w:marRight w:val="0"/>
      <w:marTop w:val="0"/>
      <w:marBottom w:val="0"/>
      <w:divBdr>
        <w:top w:val="none" w:sz="0" w:space="0" w:color="auto"/>
        <w:left w:val="none" w:sz="0" w:space="0" w:color="auto"/>
        <w:bottom w:val="none" w:sz="0" w:space="0" w:color="auto"/>
        <w:right w:val="none" w:sz="0" w:space="0" w:color="auto"/>
      </w:divBdr>
    </w:div>
    <w:div w:id="809831061">
      <w:bodyDiv w:val="1"/>
      <w:marLeft w:val="0"/>
      <w:marRight w:val="0"/>
      <w:marTop w:val="0"/>
      <w:marBottom w:val="0"/>
      <w:divBdr>
        <w:top w:val="none" w:sz="0" w:space="0" w:color="auto"/>
        <w:left w:val="none" w:sz="0" w:space="0" w:color="auto"/>
        <w:bottom w:val="none" w:sz="0" w:space="0" w:color="auto"/>
        <w:right w:val="none" w:sz="0" w:space="0" w:color="auto"/>
      </w:divBdr>
    </w:div>
    <w:div w:id="1659459469">
      <w:bodyDiv w:val="1"/>
      <w:marLeft w:val="0"/>
      <w:marRight w:val="0"/>
      <w:marTop w:val="0"/>
      <w:marBottom w:val="0"/>
      <w:divBdr>
        <w:top w:val="none" w:sz="0" w:space="0" w:color="auto"/>
        <w:left w:val="none" w:sz="0" w:space="0" w:color="auto"/>
        <w:bottom w:val="none" w:sz="0" w:space="0" w:color="auto"/>
        <w:right w:val="none" w:sz="0" w:space="0" w:color="auto"/>
      </w:divBdr>
    </w:div>
    <w:div w:id="1894465845">
      <w:bodyDiv w:val="1"/>
      <w:marLeft w:val="0"/>
      <w:marRight w:val="0"/>
      <w:marTop w:val="0"/>
      <w:marBottom w:val="0"/>
      <w:divBdr>
        <w:top w:val="none" w:sz="0" w:space="0" w:color="auto"/>
        <w:left w:val="none" w:sz="0" w:space="0" w:color="auto"/>
        <w:bottom w:val="none" w:sz="0" w:space="0" w:color="auto"/>
        <w:right w:val="none" w:sz="0" w:space="0" w:color="auto"/>
      </w:divBdr>
    </w:div>
    <w:div w:id="202894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A64A43E62012448856F6228BE5A635" ma:contentTypeVersion="17" ma:contentTypeDescription="Create a new document." ma:contentTypeScope="" ma:versionID="252979e97e56777f3aedd1109062137a">
  <xsd:schema xmlns:xsd="http://www.w3.org/2001/XMLSchema" xmlns:xs="http://www.w3.org/2001/XMLSchema" xmlns:p="http://schemas.microsoft.com/office/2006/metadata/properties" xmlns:ns1="http://schemas.microsoft.com/sharepoint/v3" xmlns:ns2="7c65ecd3-9809-4c81-baf6-4db60f916c6e" xmlns:ns3="a58d044e-081a-4ad3-aa65-47d79dd05137" targetNamespace="http://schemas.microsoft.com/office/2006/metadata/properties" ma:root="true" ma:fieldsID="a974e3813d29736702b8462adafef233" ns1:_="" ns2:_="" ns3:_="">
    <xsd:import namespace="http://schemas.microsoft.com/sharepoint/v3"/>
    <xsd:import namespace="7c65ecd3-9809-4c81-baf6-4db60f916c6e"/>
    <xsd:import namespace="a58d044e-081a-4ad3-aa65-47d79dd051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65ecd3-9809-4c81-baf6-4db60f916c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5e4c06d-933f-4a7b-80f6-d9cbe1d2fab2"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8d044e-081a-4ad3-aa65-47d79dd0513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e9cd1b-3047-4d12-b9dd-2bb3b3558e67}" ma:internalName="TaxCatchAll" ma:showField="CatchAllData" ma:web="a58d044e-081a-4ad3-aa65-47d79dd051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7c65ecd3-9809-4c81-baf6-4db60f916c6e">
      <Terms xmlns="http://schemas.microsoft.com/office/infopath/2007/PartnerControls"/>
    </lcf76f155ced4ddcb4097134ff3c332f>
    <TaxCatchAll xmlns="a58d044e-081a-4ad3-aa65-47d79dd05137" xsi:nil="true"/>
  </documentManagement>
</p:properties>
</file>

<file path=customXml/itemProps1.xml><?xml version="1.0" encoding="utf-8"?>
<ds:datastoreItem xmlns:ds="http://schemas.openxmlformats.org/officeDocument/2006/customXml" ds:itemID="{B323516A-839D-4001-9DCB-87321AA93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65ecd3-9809-4c81-baf6-4db60f916c6e"/>
    <ds:schemaRef ds:uri="a58d044e-081a-4ad3-aa65-47d79dd051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1ADF3C-C2F6-4327-87D2-C28819F18FBD}">
  <ds:schemaRefs>
    <ds:schemaRef ds:uri="http://schemas.microsoft.com/sharepoint/v3/contenttype/forms"/>
  </ds:schemaRefs>
</ds:datastoreItem>
</file>

<file path=customXml/itemProps3.xml><?xml version="1.0" encoding="utf-8"?>
<ds:datastoreItem xmlns:ds="http://schemas.openxmlformats.org/officeDocument/2006/customXml" ds:itemID="{08432A57-C9DE-47B5-9BF0-AC3D15BE9642}">
  <ds:schemaRefs>
    <ds:schemaRef ds:uri="http://schemas.openxmlformats.org/officeDocument/2006/bibliography"/>
  </ds:schemaRefs>
</ds:datastoreItem>
</file>

<file path=customXml/itemProps4.xml><?xml version="1.0" encoding="utf-8"?>
<ds:datastoreItem xmlns:ds="http://schemas.openxmlformats.org/officeDocument/2006/customXml" ds:itemID="{6EAA962D-E544-4718-A425-3200D5B0EA71}">
  <ds:schemaRefs>
    <ds:schemaRef ds:uri="http://schemas.microsoft.com/office/2006/metadata/properties"/>
    <ds:schemaRef ds:uri="http://schemas.microsoft.com/office/infopath/2007/PartnerControls"/>
    <ds:schemaRef ds:uri="http://schemas.microsoft.com/sharepoint/v3"/>
    <ds:schemaRef ds:uri="7c65ecd3-9809-4c81-baf6-4db60f916c6e"/>
    <ds:schemaRef ds:uri="a58d044e-081a-4ad3-aa65-47d79dd05137"/>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Pages>
  <Words>820</Words>
  <Characters>4679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The Fertilizer Institute</vt:lpstr>
    </vt:vector>
  </TitlesOfParts>
  <Company/>
  <LinksUpToDate>false</LinksUpToDate>
  <CharactersWithSpaces>5489</CharactersWithSpaces>
  <SharedDoc>false</SharedDoc>
  <HLinks>
    <vt:vector size="12" baseType="variant">
      <vt:variant>
        <vt:i4>1179702</vt:i4>
      </vt:variant>
      <vt:variant>
        <vt:i4>3</vt:i4>
      </vt:variant>
      <vt:variant>
        <vt:i4>0</vt:i4>
      </vt:variant>
      <vt:variant>
        <vt:i4>5</vt:i4>
      </vt:variant>
      <vt:variant>
        <vt:lpwstr>mailto:pguffain@tfi.org</vt:lpwstr>
      </vt:variant>
      <vt:variant>
        <vt:lpwstr/>
      </vt:variant>
      <vt:variant>
        <vt:i4>1245188</vt:i4>
      </vt:variant>
      <vt:variant>
        <vt:i4>0</vt:i4>
      </vt:variant>
      <vt:variant>
        <vt:i4>0</vt:i4>
      </vt:variant>
      <vt:variant>
        <vt:i4>5</vt:i4>
      </vt:variant>
      <vt:variant>
        <vt:lpwstr>https://www.asmark.org/Compass/ComplianceAssessmentTool/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Fertilizer Institute</dc:title>
  <dc:subject/>
  <dc:creator>Justin Louchheim</dc:creator>
  <cp:keywords/>
  <cp:lastModifiedBy>Justin Louchheim</cp:lastModifiedBy>
  <cp:revision>100</cp:revision>
  <cp:lastPrinted>2023-01-18T17:15:00Z</cp:lastPrinted>
  <dcterms:created xsi:type="dcterms:W3CDTF">2023-01-18T14:28:00Z</dcterms:created>
  <dcterms:modified xsi:type="dcterms:W3CDTF">2023-03-08T13:18:00Z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0x0101007DA64A43E62012448856F6228BE5A635</vt:lpwstr>
  </property>
  <property fmtid="{D5CDD505-2E9C-101B-9397-08002B2CF9AE}" pid="3" name="Order">
    <vt:r8>5634000</vt:r8>
  </property>
  <property fmtid="{D5CDD505-2E9C-101B-9397-08002B2CF9AE}" pid="4" name="MediaServiceImageTags">
    <vt:lpwstr/>
  </property>
</Properties>
</file>